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E515" w14:textId="77777777" w:rsidR="008710BE" w:rsidRPr="008710BE" w:rsidRDefault="00426624" w:rsidP="00577B6B">
      <w:pPr>
        <w:pStyle w:val="Tytu"/>
        <w:spacing w:line="360" w:lineRule="auto"/>
      </w:pPr>
      <w:r w:rsidRPr="008710BE">
        <w:t xml:space="preserve">PODSUMOWANIE </w:t>
      </w:r>
      <w:r w:rsidR="00457D19" w:rsidRPr="008710BE">
        <w:t xml:space="preserve"> </w:t>
      </w:r>
    </w:p>
    <w:p w14:paraId="13EA1413" w14:textId="24696FE6" w:rsidR="007A26F0" w:rsidRPr="00426624" w:rsidRDefault="00416345" w:rsidP="00577B6B">
      <w:pPr>
        <w:pStyle w:val="Tytu"/>
        <w:spacing w:line="360" w:lineRule="auto"/>
      </w:pPr>
      <w:r>
        <w:t xml:space="preserve">do </w:t>
      </w:r>
      <w:r w:rsidR="008710BE" w:rsidRPr="008710BE">
        <w:t xml:space="preserve">Planu Gospodarki Odpadami dla Województwa Podkarpackiego na lata </w:t>
      </w:r>
      <w:r>
        <w:br/>
      </w:r>
      <w:r w:rsidR="008710BE" w:rsidRPr="008710BE">
        <w:t>2020 – 2026</w:t>
      </w:r>
      <w:r w:rsidR="008D70F7">
        <w:t xml:space="preserve"> </w:t>
      </w:r>
      <w:r w:rsidR="008710BE" w:rsidRPr="008710BE">
        <w:t xml:space="preserve"> z perspektywą do 2032 uchwalonego w dniu 26.04.2021r.</w:t>
      </w:r>
      <w:r w:rsidR="007A26F0">
        <w:t xml:space="preserve"> </w:t>
      </w:r>
    </w:p>
    <w:p w14:paraId="1610CE48" w14:textId="77777777" w:rsidR="00930A09" w:rsidRPr="00930A09" w:rsidRDefault="00930A09" w:rsidP="00577B6B">
      <w:pPr>
        <w:spacing w:after="0" w:line="360" w:lineRule="auto"/>
        <w:jc w:val="center"/>
        <w:rPr>
          <w:rFonts w:cs="Arial"/>
          <w:b/>
          <w:u w:val="single"/>
        </w:rPr>
      </w:pPr>
    </w:p>
    <w:p w14:paraId="1DC66E89" w14:textId="77777777" w:rsidR="007F29F2" w:rsidRPr="00947594" w:rsidRDefault="007F29F2" w:rsidP="00577B6B">
      <w:pPr>
        <w:spacing w:line="360" w:lineRule="auto"/>
      </w:pPr>
      <w:r w:rsidRPr="00930A09">
        <w:tab/>
      </w:r>
      <w:r w:rsidRPr="00947594">
        <w:t xml:space="preserve">Zgodnie z art. </w:t>
      </w:r>
      <w:r w:rsidR="00197F46" w:rsidRPr="00947594">
        <w:t>55</w:t>
      </w:r>
      <w:r w:rsidRPr="00947594">
        <w:t xml:space="preserve"> </w:t>
      </w:r>
      <w:r w:rsidR="00197F46" w:rsidRPr="00947594">
        <w:t>ust. 3</w:t>
      </w:r>
      <w:r w:rsidRPr="00947594">
        <w:t xml:space="preserve"> ustawy z dnia 3</w:t>
      </w:r>
      <w:r w:rsidR="00DF2FB8">
        <w:t xml:space="preserve"> października </w:t>
      </w:r>
      <w:r w:rsidRPr="00947594">
        <w:t xml:space="preserve">2008 r. </w:t>
      </w:r>
      <w:r w:rsidR="0059248B" w:rsidRPr="00947594">
        <w:rPr>
          <w:lang w:eastAsia="pl-PL"/>
        </w:rPr>
        <w:t>o udostępnianiu informacji o środowisku i jego ochronie, udziale społeczeństwa w ochronie środowiska oraz o ocenach oddziaływania na środowisko</w:t>
      </w:r>
      <w:r w:rsidR="0059248B" w:rsidRPr="00947594">
        <w:t xml:space="preserve"> </w:t>
      </w:r>
      <w:r w:rsidRPr="00947594">
        <w:t>(</w:t>
      </w:r>
      <w:proofErr w:type="spellStart"/>
      <w:r w:rsidR="00020E87" w:rsidRPr="00947594">
        <w:rPr>
          <w:lang w:eastAsia="pl-PL"/>
        </w:rPr>
        <w:t>t.j</w:t>
      </w:r>
      <w:proofErr w:type="spellEnd"/>
      <w:r w:rsidR="00020E87" w:rsidRPr="00947594">
        <w:rPr>
          <w:lang w:eastAsia="pl-PL"/>
        </w:rPr>
        <w:t xml:space="preserve">. Dz. U. z 2021 r. poz. 247 z </w:t>
      </w:r>
      <w:proofErr w:type="spellStart"/>
      <w:r w:rsidR="00020E87" w:rsidRPr="00947594">
        <w:rPr>
          <w:lang w:eastAsia="pl-PL"/>
        </w:rPr>
        <w:t>późn</w:t>
      </w:r>
      <w:proofErr w:type="spellEnd"/>
      <w:r w:rsidR="00020E87" w:rsidRPr="00947594">
        <w:rPr>
          <w:lang w:eastAsia="pl-PL"/>
        </w:rPr>
        <w:t>. zm.)</w:t>
      </w:r>
      <w:r w:rsidRPr="00947594">
        <w:t xml:space="preserve"> do przyjętego dokumentu dołącza się niniejsze </w:t>
      </w:r>
      <w:r w:rsidR="0021449A" w:rsidRPr="00947594">
        <w:t>Podsumowanie</w:t>
      </w:r>
      <w:r w:rsidRPr="00947594">
        <w:t>.</w:t>
      </w:r>
    </w:p>
    <w:p w14:paraId="608B3118" w14:textId="77777777" w:rsidR="00563298" w:rsidRPr="004A4E44" w:rsidRDefault="00563298" w:rsidP="00577B6B">
      <w:pPr>
        <w:pStyle w:val="Nagwek1"/>
        <w:spacing w:line="360" w:lineRule="auto"/>
      </w:pPr>
      <w:r w:rsidRPr="004A4E44">
        <w:t>Uzasadnienie wyboru przyjętego dokumentu w odniesieniu do rozpatrywanych rozwiązań alternatywnych</w:t>
      </w:r>
    </w:p>
    <w:p w14:paraId="56E74FD1" w14:textId="77777777" w:rsidR="00A87B46" w:rsidRPr="00947594" w:rsidRDefault="00A87B46" w:rsidP="00577B6B">
      <w:pPr>
        <w:spacing w:line="360" w:lineRule="auto"/>
      </w:pPr>
      <w:r w:rsidRPr="00947594">
        <w:t xml:space="preserve">Sporządzenie aktualizacji Plan Gospodarki Odpadami dla Województwa Podkarpackiego na lata 2020 – 2026 z perspektywą do 2032 roku wynika </w:t>
      </w:r>
      <w:r w:rsidR="008D70F7">
        <w:br/>
      </w:r>
      <w:r w:rsidRPr="00947594">
        <w:t xml:space="preserve">z wymogów obowiązującego prawa czyli z ustawy z dnia 14 grudnia 2012 roku </w:t>
      </w:r>
      <w:r w:rsidR="008D70F7">
        <w:br/>
      </w:r>
      <w:r w:rsidRPr="00947594">
        <w:t>o odpadach, która nałożyła na samorząd wojewódzki obowiązek aktualizacji wojewódzkich planów gospodarki odpadami w terminie nie rzadszym niż co 6 lat.</w:t>
      </w:r>
    </w:p>
    <w:p w14:paraId="02EDE690" w14:textId="77777777" w:rsidR="00A87B46" w:rsidRPr="00947594" w:rsidRDefault="00A87B46" w:rsidP="00577B6B">
      <w:pPr>
        <w:spacing w:line="360" w:lineRule="auto"/>
      </w:pPr>
      <w:r w:rsidRPr="00947594">
        <w:t xml:space="preserve">Przyjęte w analizowanym dokumencie rozwiązania w zakresie gospodarki odpadami ukierunkowane są na ograniczenie ilości wytwarzanych odpadów, ograniczenie ich składowania na rzecz zagospodarowania poprzez </w:t>
      </w:r>
      <w:r w:rsidR="007A18EF" w:rsidRPr="00947594">
        <w:t>recykling</w:t>
      </w:r>
      <w:r w:rsidRPr="00947594">
        <w:t xml:space="preserve">, odzysk </w:t>
      </w:r>
      <w:r w:rsidR="008D70F7">
        <w:br/>
      </w:r>
      <w:r w:rsidRPr="00947594">
        <w:t xml:space="preserve">i unieszkodliwianie innymi metodami niż składowanie oraz mają na celu poprawę stanu środowiska w województwie.  </w:t>
      </w:r>
    </w:p>
    <w:p w14:paraId="7BB2C96C" w14:textId="77777777" w:rsidR="009D26AB" w:rsidRPr="00947594" w:rsidRDefault="007A18EF" w:rsidP="00577B6B">
      <w:pPr>
        <w:spacing w:line="360" w:lineRule="auto"/>
      </w:pPr>
      <w:r w:rsidRPr="00947594">
        <w:t>Dokument ten w pełni służy ochronie środowiska, a jego realizacja wspiera działania zmierzające do osiągnięcia celów i spełnienia wymagań wynikających z przepisów prawa Unii Europejskiej.</w:t>
      </w:r>
      <w:r w:rsidR="0068163A" w:rsidRPr="00947594">
        <w:t xml:space="preserve"> </w:t>
      </w:r>
    </w:p>
    <w:p w14:paraId="14E62D66" w14:textId="77777777" w:rsidR="002D228C" w:rsidRPr="00947594" w:rsidRDefault="00930A09" w:rsidP="00577B6B">
      <w:pPr>
        <w:spacing w:line="360" w:lineRule="auto"/>
      </w:pPr>
      <w:r w:rsidRPr="00947594">
        <w:t>W</w:t>
      </w:r>
      <w:r w:rsidR="002D228C" w:rsidRPr="00947594">
        <w:t xml:space="preserve"> Plan</w:t>
      </w:r>
      <w:r w:rsidR="006332D3" w:rsidRPr="00947594">
        <w:t>ie</w:t>
      </w:r>
      <w:r w:rsidR="002D228C" w:rsidRPr="00947594">
        <w:t xml:space="preserve"> gospodarki odpadami dla województwa podkarpackiego nie </w:t>
      </w:r>
      <w:r w:rsidR="007A18EF" w:rsidRPr="00947594">
        <w:t xml:space="preserve"> rozpatrywano </w:t>
      </w:r>
      <w:r w:rsidR="002D228C" w:rsidRPr="00947594">
        <w:t xml:space="preserve"> wariantu polegającego na niepodejmowaniu żadnych działań </w:t>
      </w:r>
      <w:r w:rsidR="00441C0F" w:rsidRPr="00947594">
        <w:t>w zakresie</w:t>
      </w:r>
      <w:r w:rsidR="002D228C" w:rsidRPr="00947594">
        <w:t xml:space="preserve"> gospodarowania odpadami. Wynika to głównie z diagnozy stanu aktualnego w tym zakresie, która wykazała konieczność wprowadzenia niezbędnych zmian </w:t>
      </w:r>
      <w:r w:rsidR="002D228C" w:rsidRPr="00947594">
        <w:lastRenderedPageBreak/>
        <w:t xml:space="preserve">zmierzających do poprawy stanu gospodarowania odpadami, w tym przede wszystkim w gospodarce odpadami komunalnymi. </w:t>
      </w:r>
    </w:p>
    <w:p w14:paraId="5D686184" w14:textId="77777777" w:rsidR="00297CA1" w:rsidRPr="004A4E44" w:rsidRDefault="008230A9" w:rsidP="00577B6B">
      <w:pPr>
        <w:pStyle w:val="Nagwek1"/>
        <w:spacing w:line="360" w:lineRule="auto"/>
      </w:pPr>
      <w:r w:rsidRPr="004A4E44">
        <w:t>Uwzględnienie u</w:t>
      </w:r>
      <w:r w:rsidR="00297CA1" w:rsidRPr="004A4E44">
        <w:t>stale</w:t>
      </w:r>
      <w:r w:rsidRPr="004A4E44">
        <w:t>ń zawartych</w:t>
      </w:r>
      <w:r w:rsidR="00297CA1" w:rsidRPr="004A4E44">
        <w:t xml:space="preserve"> w prognozie oddziaływania na środowisko</w:t>
      </w:r>
    </w:p>
    <w:p w14:paraId="0871FF64" w14:textId="77777777" w:rsidR="002F048B" w:rsidRPr="00947594" w:rsidRDefault="002F048B" w:rsidP="00577B6B">
      <w:pPr>
        <w:spacing w:line="360" w:lineRule="auto"/>
      </w:pPr>
      <w:r w:rsidRPr="00947594">
        <w:t xml:space="preserve">Na podstawie analizy stanu gospodarki odpadami w województwie podkarpackim, prognozy demograficznej, prognozy zmian w zakresie gospodarki odpadami, zapisów Krajowego planu gospodarki odpadami, zapisów ustawowych, zapisów zawartych </w:t>
      </w:r>
      <w:r w:rsidR="00C34734">
        <w:br/>
      </w:r>
      <w:r w:rsidRPr="00947594">
        <w:t xml:space="preserve">w Programach </w:t>
      </w:r>
      <w:r w:rsidR="00947594">
        <w:t xml:space="preserve"> </w:t>
      </w:r>
      <w:r w:rsidRPr="00947594">
        <w:t xml:space="preserve">i planach strategicznych na poziomie wojewódzkim przyjęto następujące </w:t>
      </w:r>
      <w:r w:rsidR="00020E87" w:rsidRPr="00947594">
        <w:t xml:space="preserve">kierunki i </w:t>
      </w:r>
      <w:r w:rsidRPr="00947594">
        <w:t>cele główne w zakresie gospodarki odpadami:</w:t>
      </w:r>
    </w:p>
    <w:p w14:paraId="185F4B2A" w14:textId="77777777" w:rsidR="002F048B" w:rsidRPr="00947594" w:rsidRDefault="00C34734" w:rsidP="00577B6B">
      <w:pPr>
        <w:spacing w:line="360" w:lineRule="auto"/>
      </w:pPr>
      <w:r>
        <w:t>- oddzielenie</w:t>
      </w:r>
      <w:r w:rsidR="002F048B" w:rsidRPr="00947594">
        <w:t xml:space="preserve"> powiązania między rosnącą ilością odpadów a wzrostem gospodarczym oraz położenie nacisku na zapobieganie powstawaniu odpadów i na ponowne ich użycie,</w:t>
      </w:r>
    </w:p>
    <w:p w14:paraId="1AD347B4" w14:textId="77777777" w:rsidR="002F048B" w:rsidRPr="00947594" w:rsidRDefault="00C34734" w:rsidP="00577B6B">
      <w:pPr>
        <w:spacing w:line="360" w:lineRule="auto"/>
      </w:pPr>
      <w:r>
        <w:t xml:space="preserve">- </w:t>
      </w:r>
      <w:r w:rsidR="002F048B" w:rsidRPr="00947594">
        <w:t xml:space="preserve">intensyfikacja odzysku, szczególnie recyklingu szkła, metali, tworzyw sztucznych, papieru i tektury, </w:t>
      </w:r>
      <w:proofErr w:type="spellStart"/>
      <w:r w:rsidR="002F048B" w:rsidRPr="00947594">
        <w:t>ZSEiE</w:t>
      </w:r>
      <w:proofErr w:type="spellEnd"/>
      <w:r w:rsidR="002F048B" w:rsidRPr="00947594">
        <w:t xml:space="preserve"> oraz uzyskiwania energii zawartej w odpadach zgodnie </w:t>
      </w:r>
      <w:r>
        <w:br/>
      </w:r>
      <w:r w:rsidR="002F048B" w:rsidRPr="00947594">
        <w:t>z wymogami ochrony środowiska,</w:t>
      </w:r>
      <w:r w:rsidR="00947594">
        <w:t xml:space="preserve"> </w:t>
      </w:r>
      <w:r w:rsidR="002F048B" w:rsidRPr="00947594">
        <w:t>ograniczenie ilości odpadów unieszkodliwianych na składowiskach odpadów,</w:t>
      </w:r>
      <w:r w:rsidR="00947594">
        <w:t xml:space="preserve"> </w:t>
      </w:r>
      <w:r w:rsidR="002F048B" w:rsidRPr="00947594">
        <w:t>ograniczanie zjawiska nielegalnego składowania odpadów.</w:t>
      </w:r>
    </w:p>
    <w:p w14:paraId="367275C5" w14:textId="77777777" w:rsidR="004C4DA7" w:rsidRPr="00947594" w:rsidRDefault="004C4DA7" w:rsidP="00577B6B">
      <w:pPr>
        <w:spacing w:line="360" w:lineRule="auto"/>
      </w:pPr>
      <w:r w:rsidRPr="00947594">
        <w:rPr>
          <w:b/>
          <w:u w:val="single"/>
        </w:rPr>
        <w:t>W gospodarce odpadami komunalnymi (w tym odpadami żywności i innymi odpadami ulegającymi biodegradacji) przyjęto następujące cele</w:t>
      </w:r>
      <w:r w:rsidRPr="00947594">
        <w:t>:</w:t>
      </w:r>
    </w:p>
    <w:p w14:paraId="601CD4F1" w14:textId="77777777" w:rsidR="004C4DA7" w:rsidRPr="00947594" w:rsidRDefault="004C4DA7" w:rsidP="00577B6B">
      <w:pPr>
        <w:spacing w:line="360" w:lineRule="auto"/>
      </w:pPr>
      <w:r w:rsidRPr="00947594">
        <w:t>1.</w:t>
      </w:r>
      <w:r w:rsidRPr="00947594">
        <w:tab/>
        <w:t>Zmniejszenie ilości powstających odpadów – ograniczenie marnotrawienia żywności.</w:t>
      </w:r>
    </w:p>
    <w:p w14:paraId="4D21FB3D" w14:textId="77777777" w:rsidR="004C4DA7" w:rsidRPr="00947594" w:rsidRDefault="004C4DA7" w:rsidP="00577B6B">
      <w:pPr>
        <w:spacing w:line="360" w:lineRule="auto"/>
      </w:pPr>
      <w:r w:rsidRPr="00947594">
        <w:t>2.</w:t>
      </w:r>
      <w:r w:rsidRPr="00947594">
        <w:tab/>
        <w:t>Zwiększanie świadomości społeczeństwa na temat właściwego gospodarowania odpadami komunalnymi, w tym odpadami żywności i innymi odpadami ulegającymi biodegradacji;</w:t>
      </w:r>
    </w:p>
    <w:p w14:paraId="2BB03D43" w14:textId="77777777" w:rsidR="004C4DA7" w:rsidRPr="00947594" w:rsidRDefault="004C4DA7" w:rsidP="00577B6B">
      <w:pPr>
        <w:spacing w:line="360" w:lineRule="auto"/>
      </w:pPr>
      <w:r w:rsidRPr="00947594">
        <w:t>3.</w:t>
      </w:r>
      <w:r w:rsidRPr="00947594">
        <w:tab/>
        <w:t>Doprowadzenie do funkcjonowania systemów zagospodarowania odpadów zgodnie z hierarchią sposobów postępowania z odpadami.</w:t>
      </w:r>
    </w:p>
    <w:p w14:paraId="232AEE9C" w14:textId="77777777" w:rsidR="004C4DA7" w:rsidRPr="00947594" w:rsidRDefault="004C4DA7" w:rsidP="008A0017">
      <w:pPr>
        <w:spacing w:line="360" w:lineRule="auto"/>
      </w:pPr>
      <w:r w:rsidRPr="00947594">
        <w:lastRenderedPageBreak/>
        <w:t>4.</w:t>
      </w:r>
      <w:r w:rsidRPr="00947594">
        <w:tab/>
        <w:t>Osiągnięcie planistycznych celów normatywnych w zagospodarowaniu odpadów komunalnych</w:t>
      </w:r>
      <w:r w:rsidR="008A0017">
        <w:t xml:space="preserve">. </w:t>
      </w:r>
    </w:p>
    <w:p w14:paraId="4110A426" w14:textId="77777777" w:rsidR="008A0017" w:rsidRPr="00947594" w:rsidRDefault="004C4DA7" w:rsidP="008A0017">
      <w:pPr>
        <w:spacing w:line="360" w:lineRule="auto"/>
      </w:pPr>
      <w:r w:rsidRPr="00947594">
        <w:t>5.</w:t>
      </w:r>
      <w:r w:rsidRPr="00947594">
        <w:tab/>
        <w:t xml:space="preserve">Zmniejszenie udziału zmieszanych odpadów komunalnych w całym strumieniu </w:t>
      </w:r>
      <w:r w:rsidR="00DC7211">
        <w:t xml:space="preserve">odbieranych i zbieranych </w:t>
      </w:r>
      <w:r w:rsidRPr="00947594">
        <w:t>odpadów (zwiększenie udziału odpadów zbieranych selektywnie)</w:t>
      </w:r>
      <w:r w:rsidR="008A0017">
        <w:t xml:space="preserve">. </w:t>
      </w:r>
    </w:p>
    <w:p w14:paraId="3676189A" w14:textId="77777777" w:rsidR="007462E1" w:rsidRPr="00947594" w:rsidRDefault="007462E1" w:rsidP="00577B6B">
      <w:pPr>
        <w:spacing w:line="360" w:lineRule="auto"/>
      </w:pPr>
      <w:r w:rsidRPr="00947594">
        <w:rPr>
          <w:b/>
        </w:rPr>
        <w:t xml:space="preserve">Dla odpadów z grup 01–19 wskazano cele, w podziale na odpady niebezpieczne </w:t>
      </w:r>
      <w:r w:rsidR="00947594">
        <w:rPr>
          <w:b/>
        </w:rPr>
        <w:br/>
      </w:r>
      <w:r w:rsidRPr="00947594">
        <w:rPr>
          <w:b/>
        </w:rPr>
        <w:t>i odpady inne niż niebezpieczne.</w:t>
      </w:r>
    </w:p>
    <w:p w14:paraId="6B9A9AC4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 xml:space="preserve">W zakresie </w:t>
      </w:r>
      <w:r w:rsidRPr="008A0017">
        <w:rPr>
          <w:u w:val="single"/>
        </w:rPr>
        <w:t>olejów odpad</w:t>
      </w:r>
      <w:r w:rsidR="00115596" w:rsidRPr="008A0017">
        <w:rPr>
          <w:u w:val="single"/>
        </w:rPr>
        <w:t>owych</w:t>
      </w:r>
      <w:r w:rsidRPr="0074536A">
        <w:rPr>
          <w:u w:val="single"/>
        </w:rPr>
        <w:t xml:space="preserve"> przyjęto następujące cele:</w:t>
      </w:r>
    </w:p>
    <w:p w14:paraId="253054B4" w14:textId="77777777" w:rsidR="00F36948" w:rsidRPr="00947594" w:rsidRDefault="00F36948" w:rsidP="00577B6B">
      <w:pPr>
        <w:spacing w:line="360" w:lineRule="auto"/>
      </w:pPr>
      <w:r w:rsidRPr="00947594">
        <w:t xml:space="preserve">Rozwój systemu selektywnego zbierania i metod odzysku olejów odpadowych </w:t>
      </w:r>
      <w:r w:rsidR="00947594">
        <w:br/>
      </w:r>
      <w:r w:rsidRPr="00947594">
        <w:t>w szczególności z sektora małych i średnich przedsiębiorstw.</w:t>
      </w:r>
    </w:p>
    <w:p w14:paraId="4A2E4ED6" w14:textId="77777777" w:rsidR="00F36948" w:rsidRPr="00947594" w:rsidRDefault="00F36948" w:rsidP="00577B6B">
      <w:pPr>
        <w:spacing w:line="360" w:lineRule="auto"/>
      </w:pPr>
      <w:r w:rsidRPr="00947594">
        <w:t>Utrzymanie poziomu odzysku na poziomie co najmniej 50%, a recyklingu, rozumianego jako regeneracja na poziomie co najmniej 35%.</w:t>
      </w:r>
    </w:p>
    <w:p w14:paraId="6D935296" w14:textId="77777777" w:rsidR="00F36948" w:rsidRPr="00947594" w:rsidRDefault="00F36948" w:rsidP="00577B6B">
      <w:pPr>
        <w:spacing w:line="360" w:lineRule="auto"/>
      </w:pPr>
      <w:r w:rsidRPr="00947594">
        <w:t>Dążenie do pełnego wykorzystania mocy przerobowych instalacji do regeneracji olejów odpadowych.</w:t>
      </w:r>
    </w:p>
    <w:p w14:paraId="47D44572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zużytych baterii i akumulatorów przyjęto następujące cele:</w:t>
      </w:r>
    </w:p>
    <w:p w14:paraId="3578F11E" w14:textId="77777777" w:rsidR="00F36948" w:rsidRPr="00947594" w:rsidRDefault="00F36948" w:rsidP="00577B6B">
      <w:pPr>
        <w:spacing w:line="360" w:lineRule="auto"/>
      </w:pPr>
      <w:r w:rsidRPr="00947594">
        <w:t>Rozwój systemu zbierania, przetwarzania, recyklingu i unieszkodliwiania zużytych baterii i zużytych akumulatorów oraz właściwego gospodarowania zużytymi bateriami i zużytymi akumulatorami.</w:t>
      </w:r>
    </w:p>
    <w:p w14:paraId="7BC6E968" w14:textId="77777777" w:rsidR="00F36948" w:rsidRPr="00947594" w:rsidRDefault="00F36948" w:rsidP="008A0017">
      <w:pPr>
        <w:spacing w:line="360" w:lineRule="auto"/>
      </w:pPr>
      <w:r w:rsidRPr="00947594">
        <w:t>Osiągnięcie minimalnych poziomów wydajności recyklingu</w:t>
      </w:r>
      <w:r w:rsidR="008A0017">
        <w:t xml:space="preserve"> baterii i akumulatorów. </w:t>
      </w:r>
    </w:p>
    <w:p w14:paraId="18F52EFF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zużytego sprzętu elektrycznego i elektronicznego przyjęto następujące cele:</w:t>
      </w:r>
    </w:p>
    <w:p w14:paraId="1118BBFD" w14:textId="77777777" w:rsidR="00F36948" w:rsidRPr="00947594" w:rsidRDefault="00F36948" w:rsidP="00577B6B">
      <w:pPr>
        <w:spacing w:line="360" w:lineRule="auto"/>
      </w:pPr>
      <w:r w:rsidRPr="00947594">
        <w:t xml:space="preserve">Zwiększenie świadomości społeczeństwa i przedsiębiorców na temat prawidłowego postępowania z </w:t>
      </w:r>
      <w:proofErr w:type="spellStart"/>
      <w:r w:rsidRPr="00947594">
        <w:t>ZSEiE</w:t>
      </w:r>
      <w:proofErr w:type="spellEnd"/>
      <w:r w:rsidRPr="00947594">
        <w:t>.</w:t>
      </w:r>
    </w:p>
    <w:p w14:paraId="7CF09A18" w14:textId="77777777" w:rsidR="00F36948" w:rsidRPr="00947594" w:rsidRDefault="00F36948" w:rsidP="008A0017">
      <w:pPr>
        <w:spacing w:line="360" w:lineRule="auto"/>
      </w:pPr>
      <w:r w:rsidRPr="00947594">
        <w:t xml:space="preserve">Osiągnięcie </w:t>
      </w:r>
      <w:r w:rsidR="008A0017">
        <w:t>wymaganych przepisami prawa</w:t>
      </w:r>
      <w:r w:rsidRPr="00947594">
        <w:t xml:space="preserve"> poziomów odzysku oraz przygotowania do ponownego zużycia i recyklingu</w:t>
      </w:r>
      <w:r w:rsidR="008A0017">
        <w:t xml:space="preserve">.  </w:t>
      </w:r>
    </w:p>
    <w:p w14:paraId="35548BF9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gospodarki odpadami opakowaniowymi przyjęto następujące cele:</w:t>
      </w:r>
    </w:p>
    <w:p w14:paraId="078A8FAD" w14:textId="77777777" w:rsidR="00F36948" w:rsidRPr="00947594" w:rsidRDefault="00F36948" w:rsidP="00577B6B">
      <w:pPr>
        <w:spacing w:line="360" w:lineRule="auto"/>
      </w:pPr>
      <w:r w:rsidRPr="00947594">
        <w:lastRenderedPageBreak/>
        <w:t>Zmniejszenie ilości odpadów opakowaniowych kierowanych na składowiska.</w:t>
      </w:r>
    </w:p>
    <w:p w14:paraId="69B68682" w14:textId="77777777" w:rsidR="00F36948" w:rsidRPr="00947594" w:rsidRDefault="00F36948" w:rsidP="00577B6B">
      <w:pPr>
        <w:spacing w:line="360" w:lineRule="auto"/>
      </w:pPr>
      <w:r w:rsidRPr="00947594">
        <w:t>Osiągnięcie i utrzymanie minimalnych poziomów recyklingu odpadów opakowaniowych</w:t>
      </w:r>
      <w:r w:rsidR="008A0017">
        <w:t xml:space="preserve">. </w:t>
      </w:r>
    </w:p>
    <w:p w14:paraId="1A531EF1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 xml:space="preserve">W zakresie gospodarki odpadami pochodzącymi z pojazdów wycofanych </w:t>
      </w:r>
      <w:r w:rsidR="00DC7211">
        <w:rPr>
          <w:u w:val="single"/>
        </w:rPr>
        <w:br/>
      </w:r>
      <w:r w:rsidRPr="0074536A">
        <w:rPr>
          <w:u w:val="single"/>
        </w:rPr>
        <w:t>z eksploatacji przyjęto następujące cele:</w:t>
      </w:r>
    </w:p>
    <w:p w14:paraId="01D6C4BE" w14:textId="77777777" w:rsidR="00F36948" w:rsidRPr="00947594" w:rsidRDefault="00F36948" w:rsidP="00577B6B">
      <w:pPr>
        <w:spacing w:line="360" w:lineRule="auto"/>
      </w:pPr>
      <w:r w:rsidRPr="00947594">
        <w:t>Osiągnięcie minimalnych rocznych poziomów odzysku i recyklingu w wysokości odpowiednio 95% i 85% masy pojazdów przyjętych do stacji demontażu rocznie.</w:t>
      </w:r>
    </w:p>
    <w:p w14:paraId="2746618D" w14:textId="77777777" w:rsidR="00F36948" w:rsidRPr="00947594" w:rsidRDefault="00F36948" w:rsidP="00577B6B">
      <w:pPr>
        <w:spacing w:line="360" w:lineRule="auto"/>
      </w:pPr>
      <w:r w:rsidRPr="00947594">
        <w:t>Ograniczenie liczby pojazdów nielegalnie sprowadzanych bezpośrednio do krajowych stacji demontażu.</w:t>
      </w:r>
    </w:p>
    <w:p w14:paraId="52191E5D" w14:textId="77777777" w:rsidR="00F36948" w:rsidRPr="00947594" w:rsidRDefault="00F36948" w:rsidP="00577B6B">
      <w:pPr>
        <w:spacing w:line="360" w:lineRule="auto"/>
      </w:pPr>
      <w:r w:rsidRPr="00947594">
        <w:t>Ograniczenie nieuczciwych praktyk w zakresie zbierania i demontażu pojazdów wycofanych z eksploatacji (zwiększenie ilości pojazdów wycofanych z eksploatacji kierowanych do legalnych stacji demontażu).</w:t>
      </w:r>
    </w:p>
    <w:p w14:paraId="28AEB2D9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gospodarki odpadami zużytych opon przyjęto następujące cele:</w:t>
      </w:r>
    </w:p>
    <w:p w14:paraId="510FF93C" w14:textId="77777777" w:rsidR="00F36948" w:rsidRPr="00947594" w:rsidRDefault="00F36948" w:rsidP="00577B6B">
      <w:pPr>
        <w:spacing w:line="360" w:lineRule="auto"/>
      </w:pPr>
      <w:r w:rsidRPr="00947594">
        <w:t xml:space="preserve">Utrzymanie dotychczasowego poziomu odzysku w wysokości co najmniej 75%, </w:t>
      </w:r>
      <w:r w:rsidR="00DC7211">
        <w:br/>
      </w:r>
      <w:r w:rsidRPr="00947594">
        <w:t>a recyklingu w wysokości co najmniej 15%.</w:t>
      </w:r>
    </w:p>
    <w:p w14:paraId="6CD95ACC" w14:textId="77777777" w:rsidR="00F36948" w:rsidRPr="00947594" w:rsidRDefault="00F36948" w:rsidP="00577B6B">
      <w:pPr>
        <w:spacing w:line="360" w:lineRule="auto"/>
      </w:pPr>
      <w:r w:rsidRPr="00947594">
        <w:t>Zwiększenie świadomości społeczeństwa, w tym przedsiębiorców na temat właściwego, to jest zrównoważonego, użytkowania pojazdów, w szczególności opon oraz dozwolonych przepisami prawa sposobów postępowania ze zużytymi oponami.</w:t>
      </w:r>
    </w:p>
    <w:p w14:paraId="697D2271" w14:textId="77777777" w:rsidR="00DE0435" w:rsidRPr="00947594" w:rsidRDefault="00DE0435" w:rsidP="00577B6B">
      <w:pPr>
        <w:spacing w:line="360" w:lineRule="auto"/>
        <w:rPr>
          <w:b/>
          <w:u w:val="single"/>
        </w:rPr>
      </w:pPr>
      <w:r w:rsidRPr="00947594">
        <w:rPr>
          <w:b/>
          <w:u w:val="single"/>
        </w:rPr>
        <w:t>Odpady niebezpieczne</w:t>
      </w:r>
    </w:p>
    <w:p w14:paraId="009F3D45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gospodarki odpadami medycznymi i weterynaryjnymi przyjęto następujące cele:</w:t>
      </w:r>
    </w:p>
    <w:p w14:paraId="77FE28F9" w14:textId="7BF68931" w:rsidR="00F36948" w:rsidRPr="00947594" w:rsidRDefault="00F36948" w:rsidP="00577B6B">
      <w:pPr>
        <w:spacing w:line="360" w:lineRule="auto"/>
      </w:pPr>
      <w:r w:rsidRPr="00947594">
        <w:t xml:space="preserve">Podniesienie efektywności selektywnego zbierania odpadów medycznych </w:t>
      </w:r>
      <w:r w:rsidR="00416345">
        <w:br/>
      </w:r>
      <w:r w:rsidRPr="00947594">
        <w:t>i weterynaryjnych, w tym segregacji odpadów u źródła powstawania.</w:t>
      </w:r>
    </w:p>
    <w:p w14:paraId="6C76DF67" w14:textId="77777777" w:rsidR="00F36948" w:rsidRPr="00947594" w:rsidRDefault="00F36948" w:rsidP="00577B6B">
      <w:pPr>
        <w:spacing w:line="360" w:lineRule="auto"/>
      </w:pPr>
      <w:r w:rsidRPr="00947594">
        <w:t>Ograniczenie ilości odpadów innych niż niebezpieczne w strumieniu odpadów niebezpiecznych.</w:t>
      </w:r>
    </w:p>
    <w:p w14:paraId="27655D0B" w14:textId="77777777" w:rsidR="00F36948" w:rsidRPr="00947594" w:rsidRDefault="00F36948" w:rsidP="00577B6B">
      <w:pPr>
        <w:spacing w:line="360" w:lineRule="auto"/>
      </w:pPr>
      <w:r w:rsidRPr="0074536A">
        <w:rPr>
          <w:u w:val="single"/>
        </w:rPr>
        <w:lastRenderedPageBreak/>
        <w:t xml:space="preserve">W zakresie gospodarki odpadami zawierającymi PCB </w:t>
      </w:r>
      <w:r w:rsidR="008A0017">
        <w:rPr>
          <w:u w:val="single"/>
        </w:rPr>
        <w:t xml:space="preserve">wskazano na konieczność usunięcia </w:t>
      </w:r>
      <w:r w:rsidRPr="0074536A">
        <w:rPr>
          <w:u w:val="single"/>
        </w:rPr>
        <w:t>odpadów zawierających PCB, które nie zostały dotychczas zinwentaryzowane</w:t>
      </w:r>
      <w:r w:rsidRPr="00947594">
        <w:t>.</w:t>
      </w:r>
    </w:p>
    <w:p w14:paraId="76AF34C0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gospodarowania odpadami zawierającymi azbest przyjęto następujące cele:</w:t>
      </w:r>
    </w:p>
    <w:p w14:paraId="3A87AE13" w14:textId="77777777" w:rsidR="00F36948" w:rsidRPr="00947594" w:rsidRDefault="00F36948" w:rsidP="00577B6B">
      <w:pPr>
        <w:spacing w:line="360" w:lineRule="auto"/>
      </w:pPr>
      <w:r w:rsidRPr="00947594">
        <w:t>Kontynuacja inwentaryzacji rodzaju, ilości oraz miejsc występowania wyrobów zawierających azbest oraz jej coroczna aktualizacja zgodnie z obowiązującymi przepisami prawa.</w:t>
      </w:r>
    </w:p>
    <w:p w14:paraId="022DE05A" w14:textId="77777777" w:rsidR="00F36948" w:rsidRPr="00947594" w:rsidRDefault="00F36948" w:rsidP="00577B6B">
      <w:pPr>
        <w:spacing w:line="360" w:lineRule="auto"/>
      </w:pPr>
      <w:r w:rsidRPr="00947594">
        <w:t>Zwiększenie świadomości społeczeństwa województwa na temat szkodliwości azbestu i konieczności jego eliminowania ze środowiska.</w:t>
      </w:r>
    </w:p>
    <w:p w14:paraId="3504A12E" w14:textId="3BFA174F" w:rsidR="00F36948" w:rsidRPr="00947594" w:rsidRDefault="00F36948" w:rsidP="00577B6B">
      <w:pPr>
        <w:spacing w:line="360" w:lineRule="auto"/>
      </w:pPr>
      <w:r w:rsidRPr="00947594">
        <w:t xml:space="preserve">Zakłada się osiąganie celów określonych w przyjętym w dniu 15 marca 2010 r. przez Radę Ministrów Rzeczypospolitej Polskiej „Programie Oczyszczania Kraju z Azbestu na lata 2009-2032” oraz „Wojewódzkim programie usuwania azbestu na lata </w:t>
      </w:r>
      <w:r w:rsidR="00416345">
        <w:br/>
      </w:r>
      <w:r w:rsidRPr="00947594">
        <w:t>2009-2032”.</w:t>
      </w:r>
    </w:p>
    <w:p w14:paraId="0DA83C4E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gospodarki odpadami z przeterminowanych środków ochrony roślin przyjęto następujące cele:</w:t>
      </w:r>
    </w:p>
    <w:p w14:paraId="0A1E379C" w14:textId="77777777" w:rsidR="00F36948" w:rsidRPr="00947594" w:rsidRDefault="00F36948" w:rsidP="00577B6B">
      <w:pPr>
        <w:spacing w:line="360" w:lineRule="auto"/>
      </w:pPr>
      <w:r w:rsidRPr="00947594">
        <w:t xml:space="preserve">Zwiększenie świadomości użytkowników i sprzedawców odnośnie postępowania </w:t>
      </w:r>
      <w:r w:rsidR="0074536A">
        <w:br/>
      </w:r>
      <w:r w:rsidRPr="00947594">
        <w:t>z opakowaniami po tych produktach,</w:t>
      </w:r>
    </w:p>
    <w:p w14:paraId="444802C9" w14:textId="77777777" w:rsidR="00F36948" w:rsidRDefault="00F36948" w:rsidP="00577B6B">
      <w:pPr>
        <w:spacing w:line="360" w:lineRule="auto"/>
      </w:pPr>
      <w:r w:rsidRPr="00947594">
        <w:t>Doskonalenie systemu zbierania i odbierania przeterminowanych środków ochrony roślin i opakowań po tych środkach.</w:t>
      </w:r>
    </w:p>
    <w:p w14:paraId="199FABD1" w14:textId="77777777" w:rsidR="00DC7211" w:rsidRPr="006A643B" w:rsidRDefault="00DC7211" w:rsidP="00577B6B">
      <w:pPr>
        <w:spacing w:line="360" w:lineRule="auto"/>
        <w:rPr>
          <w:b/>
          <w:bCs/>
          <w:u w:val="single"/>
        </w:rPr>
      </w:pPr>
      <w:r w:rsidRPr="006A643B">
        <w:rPr>
          <w:b/>
          <w:bCs/>
          <w:u w:val="single"/>
        </w:rPr>
        <w:t>Pozostałe odpady z grup 01-</w:t>
      </w:r>
      <w:r w:rsidR="006A643B" w:rsidRPr="006A643B">
        <w:rPr>
          <w:b/>
          <w:bCs/>
          <w:u w:val="single"/>
        </w:rPr>
        <w:t>19</w:t>
      </w:r>
    </w:p>
    <w:p w14:paraId="1D8F3FC1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gospodarki odpadami z budowy, remontów i demontażu obiektów budowlanych i infrastruktury drogowej przyjęto następujące cele:</w:t>
      </w:r>
    </w:p>
    <w:p w14:paraId="1B8D85E3" w14:textId="77777777" w:rsidR="00F36948" w:rsidRPr="00947594" w:rsidRDefault="00F36948" w:rsidP="00577B6B">
      <w:pPr>
        <w:spacing w:line="360" w:lineRule="auto"/>
      </w:pPr>
      <w:r w:rsidRPr="00947594">
        <w:t>Osiąganie corocznie minimum 70% wagowo poziomu przygotowania do ponownego użycia, recyklingu i odzysku innymi metodami innych niż niebezpieczne odpadów budowlanych</w:t>
      </w:r>
      <w:r w:rsidR="00DC7211">
        <w:t xml:space="preserve"> </w:t>
      </w:r>
      <w:r w:rsidRPr="00947594">
        <w:t xml:space="preserve"> i rozbiórkowych stanowiących odpady komunalne.</w:t>
      </w:r>
    </w:p>
    <w:p w14:paraId="1F5626D7" w14:textId="045D0AF1" w:rsidR="00F36948" w:rsidRPr="00947594" w:rsidRDefault="00F36948" w:rsidP="00577B6B">
      <w:pPr>
        <w:spacing w:line="360" w:lineRule="auto"/>
      </w:pPr>
      <w:r w:rsidRPr="00947594">
        <w:t xml:space="preserve">Zwiększenie świadomości wśród inwestorów oraz podmiotów wytwarzających odpady z budowy, remontów i demontażu obiektów budowlanych oraz infrastruktury drogowej </w:t>
      </w:r>
      <w:r w:rsidRPr="00947594">
        <w:lastRenderedPageBreak/>
        <w:t xml:space="preserve">na temat należytego postępowania ze strumieniem wyżej wskazanych odpadów, </w:t>
      </w:r>
      <w:r w:rsidR="00416345">
        <w:br/>
      </w:r>
      <w:r w:rsidRPr="00947594">
        <w:t>w szczególności w zakresie selektywnego zbierania oraz recyklingu.</w:t>
      </w:r>
    </w:p>
    <w:p w14:paraId="471CC39F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>W zakresie gospodarowania komunalnymi osadami ściekowymi przyjęto następujące cele:</w:t>
      </w:r>
    </w:p>
    <w:p w14:paraId="35898979" w14:textId="77777777" w:rsidR="00F36948" w:rsidRPr="00947594" w:rsidRDefault="00F36948" w:rsidP="00577B6B">
      <w:pPr>
        <w:spacing w:line="360" w:lineRule="auto"/>
      </w:pPr>
      <w:r w:rsidRPr="00947594">
        <w:t>Wyeliminowanie składowania komunalnych osadów ściekowych.</w:t>
      </w:r>
    </w:p>
    <w:p w14:paraId="786BB135" w14:textId="77777777" w:rsidR="00F36948" w:rsidRPr="00947594" w:rsidRDefault="00F36948" w:rsidP="00577B6B">
      <w:pPr>
        <w:spacing w:line="360" w:lineRule="auto"/>
      </w:pPr>
      <w:r w:rsidRPr="00947594">
        <w:t>Zwiększenie ilości komunalnych osadów ściekowych przekształcanych metodami termicznymi.</w:t>
      </w:r>
    </w:p>
    <w:p w14:paraId="567A3EAE" w14:textId="77777777" w:rsidR="00F36948" w:rsidRPr="00947594" w:rsidRDefault="00F36948" w:rsidP="00577B6B">
      <w:pPr>
        <w:spacing w:line="360" w:lineRule="auto"/>
      </w:pPr>
      <w:r w:rsidRPr="00947594">
        <w:t>Odzysk z osadów ściekowych substancji pożądanych przyrodniczo przy jednoczesnym spełnieniu wymogów dotyczących bezpieczeństwa sanitarnego, chemicznego oraz środowiskowego.</w:t>
      </w:r>
    </w:p>
    <w:p w14:paraId="2AC37FF0" w14:textId="77777777" w:rsidR="00F36948" w:rsidRPr="00947594" w:rsidRDefault="00F36948" w:rsidP="00577B6B">
      <w:pPr>
        <w:spacing w:line="360" w:lineRule="auto"/>
      </w:pPr>
      <w:r w:rsidRPr="00947594">
        <w:t>Dążenie do zagospodarowania komunalnych osadów ściekowych w biogazowniach.</w:t>
      </w:r>
    </w:p>
    <w:p w14:paraId="290FF527" w14:textId="77777777" w:rsidR="00F36948" w:rsidRPr="0074536A" w:rsidRDefault="00F36948" w:rsidP="00577B6B">
      <w:pPr>
        <w:spacing w:line="360" w:lineRule="auto"/>
        <w:rPr>
          <w:u w:val="single"/>
        </w:rPr>
      </w:pPr>
      <w:r w:rsidRPr="0074536A">
        <w:rPr>
          <w:u w:val="single"/>
        </w:rPr>
        <w:t xml:space="preserve">W zakresie gospodarki odpadami ulegającymi biodegradacji innymi niż komunalne </w:t>
      </w:r>
      <w:r w:rsidR="006846C6">
        <w:rPr>
          <w:u w:val="single"/>
        </w:rPr>
        <w:t xml:space="preserve">założono </w:t>
      </w:r>
      <w:r w:rsidRPr="0074536A">
        <w:rPr>
          <w:u w:val="single"/>
        </w:rPr>
        <w:t>utrzymanie masy składowanych odpadów na poziomie nie większym niż 40% masy wytworzonych odpadów.</w:t>
      </w:r>
    </w:p>
    <w:p w14:paraId="643CA046" w14:textId="77777777" w:rsidR="00F36948" w:rsidRPr="00C76FC9" w:rsidRDefault="00F36948" w:rsidP="00577B6B">
      <w:pPr>
        <w:spacing w:line="360" w:lineRule="auto"/>
        <w:rPr>
          <w:b/>
          <w:bCs/>
          <w:u w:val="single"/>
        </w:rPr>
      </w:pPr>
      <w:r w:rsidRPr="00C76FC9">
        <w:rPr>
          <w:b/>
          <w:bCs/>
          <w:u w:val="single"/>
        </w:rPr>
        <w:t>W gospodarce odpadami z grupy 01, 06 i 10 przyjęto następujące cele:</w:t>
      </w:r>
    </w:p>
    <w:p w14:paraId="04DD85BC" w14:textId="77777777" w:rsidR="00F36948" w:rsidRPr="00947594" w:rsidRDefault="00F36948" w:rsidP="00577B6B">
      <w:pPr>
        <w:spacing w:line="360" w:lineRule="auto"/>
      </w:pPr>
      <w:r w:rsidRPr="00947594">
        <w:t>Zwiększenie udziału odpadów poddawanych procesom odzysku;</w:t>
      </w:r>
    </w:p>
    <w:p w14:paraId="41602AC7" w14:textId="77777777" w:rsidR="00F36948" w:rsidRPr="00947594" w:rsidRDefault="00F36948" w:rsidP="00577B6B">
      <w:pPr>
        <w:spacing w:line="360" w:lineRule="auto"/>
      </w:pPr>
      <w:r w:rsidRPr="00947594">
        <w:t>Ograniczenie masy wytworzonych odpadów w stosunku do wielkości produkcji;</w:t>
      </w:r>
    </w:p>
    <w:p w14:paraId="2155F7F3" w14:textId="77777777" w:rsidR="00F36948" w:rsidRPr="00947594" w:rsidRDefault="00F36948" w:rsidP="00577B6B">
      <w:pPr>
        <w:spacing w:line="360" w:lineRule="auto"/>
      </w:pPr>
      <w:r w:rsidRPr="00947594">
        <w:t>Zwiększenie stopnia zagospodarowania odpadów w podziemnych wyrobiskach kopalni, w tym przez odzysk.</w:t>
      </w:r>
    </w:p>
    <w:p w14:paraId="7A15EF14" w14:textId="77777777" w:rsidR="006846C6" w:rsidRDefault="006846C6" w:rsidP="00577B6B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W WPGO wskazano także kierunki działań zmierzające do realizacji ww. celów. </w:t>
      </w:r>
    </w:p>
    <w:p w14:paraId="3681CF3F" w14:textId="77777777" w:rsidR="00502694" w:rsidRPr="004A4E44" w:rsidRDefault="009E27AF" w:rsidP="00577B6B">
      <w:pPr>
        <w:pStyle w:val="Nagwek1"/>
        <w:spacing w:line="360" w:lineRule="auto"/>
      </w:pPr>
      <w:r w:rsidRPr="004A4E44">
        <w:t>Uwzględnienie opinii właściwych organów</w:t>
      </w:r>
    </w:p>
    <w:p w14:paraId="2CF87CD4" w14:textId="77777777" w:rsidR="00A147EB" w:rsidRPr="00947594" w:rsidRDefault="00502694" w:rsidP="00577B6B">
      <w:pPr>
        <w:spacing w:line="360" w:lineRule="auto"/>
        <w:rPr>
          <w:rFonts w:cs="Arial"/>
        </w:rPr>
      </w:pPr>
      <w:r w:rsidRPr="00947594">
        <w:rPr>
          <w:rFonts w:cs="Arial"/>
        </w:rPr>
        <w:tab/>
        <w:t xml:space="preserve">W ramach prowadzonej procedury strategicznej oceny oddziaływania na środowisko projektu WPGO zasięgano opinii </w:t>
      </w:r>
      <w:r w:rsidR="00AD225A" w:rsidRPr="00947594">
        <w:rPr>
          <w:rFonts w:cs="Arial"/>
        </w:rPr>
        <w:t>R</w:t>
      </w:r>
      <w:r w:rsidR="00CE4324" w:rsidRPr="00947594">
        <w:rPr>
          <w:rFonts w:cs="Arial"/>
        </w:rPr>
        <w:t xml:space="preserve">egionalnego Dyrektora Ochrony Środowiska w Rzeszowie oraz Podkarpackiego Państwowego Wojewódzkiego </w:t>
      </w:r>
      <w:r w:rsidR="00CE4324" w:rsidRPr="00947594">
        <w:rPr>
          <w:rFonts w:cs="Arial"/>
        </w:rPr>
        <w:lastRenderedPageBreak/>
        <w:t>Inspektora Sanitarnego</w:t>
      </w:r>
      <w:r w:rsidR="00AD225A" w:rsidRPr="00947594">
        <w:rPr>
          <w:rFonts w:cs="Arial"/>
        </w:rPr>
        <w:t xml:space="preserve"> w Rzeszowie.</w:t>
      </w:r>
      <w:r w:rsidR="00A16800" w:rsidRPr="00947594">
        <w:rPr>
          <w:rFonts w:cs="Arial"/>
        </w:rPr>
        <w:t xml:space="preserve"> Pismem z dnia </w:t>
      </w:r>
      <w:r w:rsidR="005B6CE8" w:rsidRPr="00947594">
        <w:rPr>
          <w:rFonts w:cs="Arial"/>
        </w:rPr>
        <w:t>12.11</w:t>
      </w:r>
      <w:r w:rsidR="00A16800" w:rsidRPr="00947594">
        <w:rPr>
          <w:rFonts w:cs="Arial"/>
        </w:rPr>
        <w:t>.201</w:t>
      </w:r>
      <w:r w:rsidR="005B6CE8" w:rsidRPr="00947594">
        <w:rPr>
          <w:rFonts w:cs="Arial"/>
        </w:rPr>
        <w:t>9</w:t>
      </w:r>
      <w:r w:rsidR="00A16800" w:rsidRPr="00947594">
        <w:rPr>
          <w:rFonts w:cs="Arial"/>
        </w:rPr>
        <w:t>r., znak: SNZ.</w:t>
      </w:r>
      <w:r w:rsidR="005B6CE8" w:rsidRPr="00947594">
        <w:rPr>
          <w:rFonts w:cs="Arial"/>
        </w:rPr>
        <w:t>9020.2.20.2019</w:t>
      </w:r>
      <w:r w:rsidR="00917887" w:rsidRPr="00947594">
        <w:rPr>
          <w:rFonts w:cs="Arial"/>
        </w:rPr>
        <w:t>.AL</w:t>
      </w:r>
      <w:r w:rsidR="00A16800" w:rsidRPr="00947594">
        <w:rPr>
          <w:rFonts w:cs="Arial"/>
        </w:rPr>
        <w:t xml:space="preserve"> Podkarpacki Państwowy Wojewódzki Inspektor Sanitarny </w:t>
      </w:r>
      <w:r w:rsidR="0075292F">
        <w:rPr>
          <w:rFonts w:cs="Arial"/>
        </w:rPr>
        <w:br/>
      </w:r>
      <w:r w:rsidR="00A16800" w:rsidRPr="00947594">
        <w:rPr>
          <w:rFonts w:cs="Arial"/>
        </w:rPr>
        <w:t xml:space="preserve">w Rzeszowie oraz pismem z dnia </w:t>
      </w:r>
      <w:r w:rsidR="00917887" w:rsidRPr="00947594">
        <w:rPr>
          <w:rFonts w:cs="Arial"/>
        </w:rPr>
        <w:t>18</w:t>
      </w:r>
      <w:r w:rsidR="005B6CE8" w:rsidRPr="00947594">
        <w:rPr>
          <w:rFonts w:cs="Arial"/>
        </w:rPr>
        <w:t>.11.</w:t>
      </w:r>
      <w:r w:rsidR="00A16800" w:rsidRPr="00947594">
        <w:rPr>
          <w:rFonts w:cs="Arial"/>
        </w:rPr>
        <w:t>201</w:t>
      </w:r>
      <w:r w:rsidR="005B6CE8" w:rsidRPr="00947594">
        <w:rPr>
          <w:rFonts w:cs="Arial"/>
        </w:rPr>
        <w:t>9 r., znak: WOOŚ</w:t>
      </w:r>
      <w:r w:rsidR="00A16800" w:rsidRPr="00947594">
        <w:rPr>
          <w:rFonts w:cs="Arial"/>
        </w:rPr>
        <w:t>.411.2.</w:t>
      </w:r>
      <w:r w:rsidR="005B6CE8" w:rsidRPr="00947594">
        <w:rPr>
          <w:rFonts w:cs="Arial"/>
        </w:rPr>
        <w:t>5</w:t>
      </w:r>
      <w:r w:rsidR="00A16800" w:rsidRPr="00947594">
        <w:rPr>
          <w:rFonts w:cs="Arial"/>
        </w:rPr>
        <w:t>.201</w:t>
      </w:r>
      <w:r w:rsidR="005B6CE8" w:rsidRPr="00947594">
        <w:rPr>
          <w:rFonts w:cs="Arial"/>
        </w:rPr>
        <w:t>9</w:t>
      </w:r>
      <w:r w:rsidR="00A16800" w:rsidRPr="00947594">
        <w:rPr>
          <w:rFonts w:cs="Arial"/>
        </w:rPr>
        <w:t>.</w:t>
      </w:r>
      <w:r w:rsidR="005B6CE8" w:rsidRPr="00947594">
        <w:rPr>
          <w:rFonts w:cs="Arial"/>
        </w:rPr>
        <w:t>AP.2</w:t>
      </w:r>
      <w:r w:rsidR="00A16800" w:rsidRPr="00947594">
        <w:rPr>
          <w:rFonts w:cs="Arial"/>
        </w:rPr>
        <w:t xml:space="preserve"> Regionalny Dyrektor Ochrony Środowiska w Rzeszowie uzgodnili zakres i stopień szczegółowości informacji wymaganych w prognozie oddziaływania na środowisko. </w:t>
      </w:r>
      <w:r w:rsidR="001370D2" w:rsidRPr="00947594">
        <w:rPr>
          <w:rFonts w:cs="Arial"/>
        </w:rPr>
        <w:t>N</w:t>
      </w:r>
      <w:r w:rsidR="00A16800" w:rsidRPr="00947594">
        <w:rPr>
          <w:rFonts w:cs="Arial"/>
        </w:rPr>
        <w:t>astępnie p</w:t>
      </w:r>
      <w:r w:rsidR="00AD225A" w:rsidRPr="00947594">
        <w:rPr>
          <w:rFonts w:cs="Arial"/>
        </w:rPr>
        <w:t>ismem z dnia</w:t>
      </w:r>
      <w:r w:rsidR="00135A78" w:rsidRPr="00947594">
        <w:rPr>
          <w:rFonts w:cs="Arial"/>
        </w:rPr>
        <w:t xml:space="preserve"> </w:t>
      </w:r>
      <w:r w:rsidR="00D707F1" w:rsidRPr="00947594">
        <w:rPr>
          <w:rFonts w:cs="Arial"/>
        </w:rPr>
        <w:t>09</w:t>
      </w:r>
      <w:r w:rsidR="00135A78" w:rsidRPr="00947594">
        <w:rPr>
          <w:rFonts w:cs="Arial"/>
        </w:rPr>
        <w:t>.</w:t>
      </w:r>
      <w:r w:rsidR="00D707F1" w:rsidRPr="00947594">
        <w:rPr>
          <w:rFonts w:cs="Arial"/>
        </w:rPr>
        <w:t>10.2020</w:t>
      </w:r>
      <w:r w:rsidR="00135A78" w:rsidRPr="00947594">
        <w:rPr>
          <w:rFonts w:cs="Arial"/>
        </w:rPr>
        <w:t xml:space="preserve"> r., znak: SNZ.9020.3.</w:t>
      </w:r>
      <w:r w:rsidR="00D707F1" w:rsidRPr="00947594">
        <w:rPr>
          <w:rFonts w:cs="Arial"/>
        </w:rPr>
        <w:t>17.2020</w:t>
      </w:r>
      <w:r w:rsidR="00135A78" w:rsidRPr="00947594">
        <w:rPr>
          <w:rFonts w:cs="Arial"/>
        </w:rPr>
        <w:t>.AL</w:t>
      </w:r>
      <w:r w:rsidR="00BD68E7" w:rsidRPr="00947594">
        <w:rPr>
          <w:rFonts w:cs="Arial"/>
        </w:rPr>
        <w:t xml:space="preserve"> Podkarpacki Państwowy Wojewódzki Inspektor Sanitarny w Rzeszowie zaopiniował pozytywnie </w:t>
      </w:r>
      <w:r w:rsidR="0030764E" w:rsidRPr="00947594">
        <w:rPr>
          <w:rFonts w:cs="Arial"/>
        </w:rPr>
        <w:t>projekt aktualizacji Planu Gospodarki Odpadami dla Województwa Podkarpackiego</w:t>
      </w:r>
      <w:r w:rsidR="001370D2" w:rsidRPr="00947594">
        <w:rPr>
          <w:rFonts w:cs="Arial"/>
        </w:rPr>
        <w:t>, również pozytywn</w:t>
      </w:r>
      <w:r w:rsidR="0075292F">
        <w:rPr>
          <w:rFonts w:cs="Arial"/>
        </w:rPr>
        <w:t>ą</w:t>
      </w:r>
      <w:r w:rsidR="001370D2" w:rsidRPr="00947594">
        <w:rPr>
          <w:rFonts w:cs="Arial"/>
        </w:rPr>
        <w:t xml:space="preserve"> opinię wydał</w:t>
      </w:r>
      <w:r w:rsidR="008B3606" w:rsidRPr="00947594">
        <w:rPr>
          <w:rFonts w:cs="Arial"/>
        </w:rPr>
        <w:t xml:space="preserve"> Regionalny Dyrektor Ochrony Środowiska </w:t>
      </w:r>
      <w:r w:rsidR="00241189" w:rsidRPr="00947594">
        <w:rPr>
          <w:rFonts w:cs="Arial"/>
        </w:rPr>
        <w:br/>
      </w:r>
      <w:r w:rsidR="008B3606" w:rsidRPr="00947594">
        <w:rPr>
          <w:rFonts w:cs="Arial"/>
        </w:rPr>
        <w:t>w Rzeszowie</w:t>
      </w:r>
      <w:r w:rsidR="00C05E88" w:rsidRPr="00947594">
        <w:rPr>
          <w:rFonts w:cs="Arial"/>
        </w:rPr>
        <w:t xml:space="preserve"> pismem z dnia 2</w:t>
      </w:r>
      <w:r w:rsidR="00D707F1" w:rsidRPr="00947594">
        <w:rPr>
          <w:rFonts w:cs="Arial"/>
        </w:rPr>
        <w:t>7</w:t>
      </w:r>
      <w:r w:rsidR="00C05E88" w:rsidRPr="00947594">
        <w:rPr>
          <w:rFonts w:cs="Arial"/>
        </w:rPr>
        <w:t>.</w:t>
      </w:r>
      <w:r w:rsidR="00D707F1" w:rsidRPr="00947594">
        <w:rPr>
          <w:rFonts w:cs="Arial"/>
        </w:rPr>
        <w:t>10.2020</w:t>
      </w:r>
      <w:r w:rsidR="00C05E88" w:rsidRPr="00947594">
        <w:rPr>
          <w:rFonts w:cs="Arial"/>
        </w:rPr>
        <w:t xml:space="preserve"> r., znak: WOOŚ.410.5.</w:t>
      </w:r>
      <w:r w:rsidR="00D707F1" w:rsidRPr="00947594">
        <w:rPr>
          <w:rFonts w:cs="Arial"/>
        </w:rPr>
        <w:t>6</w:t>
      </w:r>
      <w:r w:rsidR="0030764E" w:rsidRPr="00947594">
        <w:rPr>
          <w:rFonts w:cs="Arial"/>
        </w:rPr>
        <w:t>.</w:t>
      </w:r>
      <w:r w:rsidR="00D707F1" w:rsidRPr="00947594">
        <w:rPr>
          <w:rFonts w:cs="Arial"/>
        </w:rPr>
        <w:t>2020</w:t>
      </w:r>
      <w:r w:rsidR="00C05E88" w:rsidRPr="00947594">
        <w:rPr>
          <w:rFonts w:cs="Arial"/>
        </w:rPr>
        <w:t>.</w:t>
      </w:r>
      <w:r w:rsidR="00D707F1" w:rsidRPr="00947594">
        <w:rPr>
          <w:rFonts w:cs="Arial"/>
        </w:rPr>
        <w:t>AP.4</w:t>
      </w:r>
      <w:r w:rsidR="0030764E" w:rsidRPr="00947594">
        <w:rPr>
          <w:rFonts w:cs="Arial"/>
        </w:rPr>
        <w:t>.</w:t>
      </w:r>
      <w:r w:rsidR="00C15511" w:rsidRPr="00947594">
        <w:rPr>
          <w:rFonts w:cs="Arial"/>
        </w:rPr>
        <w:t xml:space="preserve"> </w:t>
      </w:r>
    </w:p>
    <w:p w14:paraId="53D99BCB" w14:textId="77777777" w:rsidR="00561380" w:rsidRPr="00947594" w:rsidRDefault="00D9693D" w:rsidP="00577B6B">
      <w:pPr>
        <w:pStyle w:val="Nagwek1"/>
        <w:spacing w:line="360" w:lineRule="auto"/>
      </w:pPr>
      <w:r w:rsidRPr="00947594">
        <w:t>Uwzględnienie zgłoszonych uwag i wniosków</w:t>
      </w:r>
    </w:p>
    <w:p w14:paraId="5E3A9F39" w14:textId="112890E1" w:rsidR="00F70943" w:rsidRPr="00947594" w:rsidRDefault="00561380" w:rsidP="00577B6B">
      <w:pPr>
        <w:spacing w:line="360" w:lineRule="auto"/>
        <w:rPr>
          <w:rFonts w:cs="Arial"/>
        </w:rPr>
      </w:pPr>
      <w:r w:rsidRPr="00947594">
        <w:rPr>
          <w:rFonts w:cs="Arial"/>
        </w:rPr>
        <w:tab/>
      </w:r>
      <w:r w:rsidR="002B7A9D" w:rsidRPr="00947594">
        <w:rPr>
          <w:rFonts w:cs="Arial"/>
        </w:rPr>
        <w:t>Obwieszczeniem Zarząd Województwa Podkarpackiego podał do publicznej wiadomości informację o możliwości zgłaszania uwag i wniosków do projektu Planu Gospodarki Odpadami dla Województwa Podkarpackiego na lata 2020 – 2026</w:t>
      </w:r>
      <w:r w:rsidR="002B7A9D" w:rsidRPr="00947594">
        <w:rPr>
          <w:rFonts w:cs="Arial"/>
        </w:rPr>
        <w:br/>
        <w:t xml:space="preserve">z perspektywą do 2032 roku wraz z załącznikiem, którym jest Plan Inwestycyjny oraz </w:t>
      </w:r>
      <w:r w:rsidR="00772D79" w:rsidRPr="00505F6F">
        <w:rPr>
          <w:rFonts w:cs="Arial"/>
        </w:rPr>
        <w:t>do</w:t>
      </w:r>
      <w:r w:rsidR="00772D79">
        <w:rPr>
          <w:rFonts w:cs="Arial"/>
        </w:rPr>
        <w:t xml:space="preserve"> </w:t>
      </w:r>
      <w:r w:rsidR="002B7A9D" w:rsidRPr="00947594">
        <w:rPr>
          <w:rFonts w:cs="Arial"/>
        </w:rPr>
        <w:t xml:space="preserve">projektu Prognozy oddziaływania na środowisko. Obwieszczenie to zostało umieszczone na tablicy ogłoszeń Urzędu Marszałkowskiego, na stronie internetowej w Biuletynie Informacji Publicznej oraz w prasie o zasięgu wojewódzkim (gazeta Nowiny). Społeczeństwo miało możliwość zapoznania się z niezbędną dokumentacją </w:t>
      </w:r>
      <w:r w:rsidR="002B7A9D" w:rsidRPr="00772D79">
        <w:rPr>
          <w:rFonts w:cs="Arial"/>
        </w:rPr>
        <w:t xml:space="preserve">sprawy </w:t>
      </w:r>
      <w:r w:rsidR="002B7A9D" w:rsidRPr="00947594">
        <w:rPr>
          <w:rFonts w:cs="Arial"/>
        </w:rPr>
        <w:t xml:space="preserve">oraz możliwość składania uwag i wniosków  w terminie od 10 sierpnia 2020 r. do 1 września 2020 r. W trakcie ww. konsultacji zostały zgłoszone uwagi i wnioski dotyczące wpisania do projektu Planu Inwestycyjnego nowych inwestycji, w tym instalacji do termicznego przekształcania odpadów w Przemyślu. W związku </w:t>
      </w:r>
      <w:r w:rsidR="0075292F">
        <w:rPr>
          <w:rFonts w:cs="Arial"/>
        </w:rPr>
        <w:br/>
      </w:r>
      <w:r w:rsidR="002B7A9D" w:rsidRPr="00947594">
        <w:rPr>
          <w:rFonts w:cs="Arial"/>
        </w:rPr>
        <w:t>z powyższym zaszła konieczność ponownego opracowania projektu aktualizacji Planu Gospodarki Odpadami dla Województwa Podkarpackiego 2022 (WPGO) wr</w:t>
      </w:r>
      <w:r w:rsidR="00E20895" w:rsidRPr="00947594">
        <w:rPr>
          <w:rFonts w:cs="Arial"/>
        </w:rPr>
        <w:t>a</w:t>
      </w:r>
      <w:r w:rsidR="002B7A9D" w:rsidRPr="00947594">
        <w:rPr>
          <w:rFonts w:cs="Arial"/>
        </w:rPr>
        <w:t xml:space="preserve">z </w:t>
      </w:r>
      <w:r w:rsidR="00416345">
        <w:rPr>
          <w:rFonts w:cs="Arial"/>
        </w:rPr>
        <w:br/>
      </w:r>
      <w:r w:rsidR="002B7A9D" w:rsidRPr="00947594">
        <w:rPr>
          <w:rFonts w:cs="Arial"/>
        </w:rPr>
        <w:t xml:space="preserve">z </w:t>
      </w:r>
      <w:r w:rsidR="00E20895" w:rsidRPr="00947594">
        <w:rPr>
          <w:rFonts w:cs="Arial"/>
        </w:rPr>
        <w:t>załącznikiem</w:t>
      </w:r>
      <w:r w:rsidR="002B7A9D" w:rsidRPr="00947594">
        <w:rPr>
          <w:rFonts w:cs="Arial"/>
        </w:rPr>
        <w:t>, którym jest Plan Inwestycyjny (PI) oraz projektu Prognozy Oddziaływania na Środowisk</w:t>
      </w:r>
      <w:r w:rsidR="00E20895" w:rsidRPr="00947594">
        <w:rPr>
          <w:rFonts w:cs="Arial"/>
        </w:rPr>
        <w:t>o projektu Planu Gospodarki Odpadami dla Województwa Podkarpackiego 2022 uwzględniającego zgłoszone nowe inwestycje. Biorąc pod uwagę powyższe, o</w:t>
      </w:r>
      <w:r w:rsidR="00F70943" w:rsidRPr="00947594">
        <w:rPr>
          <w:rFonts w:cs="Arial"/>
        </w:rPr>
        <w:t xml:space="preserve">bwieszczeniem Zarząd Województwa Podkarpackiego podał do publicznej wiadomości informację o możliwości zgłaszania uwag i wniosków do </w:t>
      </w:r>
      <w:r w:rsidR="00F70943" w:rsidRPr="00947594">
        <w:rPr>
          <w:rFonts w:cs="Arial"/>
        </w:rPr>
        <w:lastRenderedPageBreak/>
        <w:t>projektu Planu Gospodarki Odpadami dla Województwa Podkarpackiego na lata 2020 – 2026 z perspektywą do 2032 roku wraz z załącznikiem, którym jest Plan Inwestycyjny oraz projektu Prognozy oddziaływania na środowisko. Obwieszczenie to zostało umieszczone na tablicy ogłoszeń Urzędu Marszałkowskiego, na stronie internetowej w Biuletynie Informacji Publicznej oraz w prasie o zasięgu wojewódzkim (gazeta Nowiny). Społeczeństwo miało możliwość zapoznania się z niezbędną dokumentacją sprawy oraz możliwość składania uwag i wniosków  w terminie od 28 września 2020 r. do 20 października 2020 r.</w:t>
      </w:r>
    </w:p>
    <w:p w14:paraId="09FB3DCE" w14:textId="77777777" w:rsidR="00F70943" w:rsidRPr="00947594" w:rsidRDefault="00F70943" w:rsidP="00577B6B">
      <w:pPr>
        <w:spacing w:line="360" w:lineRule="auto"/>
        <w:ind w:firstLine="708"/>
        <w:rPr>
          <w:rFonts w:cs="Arial"/>
        </w:rPr>
      </w:pPr>
      <w:r w:rsidRPr="00947594">
        <w:rPr>
          <w:rFonts w:cs="Arial"/>
        </w:rPr>
        <w:t>W powyższym terminie wpłynęły uwagi i wnioski. Treść uwag i wniosków oraz sposób ich uwzględnienia zawiera załączni</w:t>
      </w:r>
      <w:r w:rsidR="00E61657" w:rsidRPr="00947594">
        <w:rPr>
          <w:rFonts w:cs="Arial"/>
        </w:rPr>
        <w:t xml:space="preserve">k nr 1 do Uzasadnienia stanowiącego załącznik nr 2 do uchwały Nr XXXVI/584/21 Sejmiku Województwa Podkarpackiego </w:t>
      </w:r>
      <w:r w:rsidR="0075292F">
        <w:rPr>
          <w:rFonts w:cs="Arial"/>
        </w:rPr>
        <w:br/>
      </w:r>
      <w:r w:rsidR="00E61657" w:rsidRPr="00947594">
        <w:rPr>
          <w:rFonts w:cs="Arial"/>
        </w:rPr>
        <w:t>z dnia 26 kwietnia 2021 r.</w:t>
      </w:r>
    </w:p>
    <w:p w14:paraId="067EB120" w14:textId="77777777" w:rsidR="00DF0ABD" w:rsidRPr="00947594" w:rsidRDefault="00DF0ABD" w:rsidP="00577B6B">
      <w:pPr>
        <w:spacing w:line="360" w:lineRule="auto"/>
        <w:rPr>
          <w:rFonts w:cs="Arial"/>
          <w:color w:val="000000"/>
        </w:rPr>
      </w:pPr>
      <w:r w:rsidRPr="00947594">
        <w:rPr>
          <w:rFonts w:cs="Arial"/>
        </w:rPr>
        <w:tab/>
      </w:r>
      <w:r w:rsidR="001324C3" w:rsidRPr="00947594">
        <w:rPr>
          <w:rFonts w:cs="Arial"/>
        </w:rPr>
        <w:t>W</w:t>
      </w:r>
      <w:r w:rsidRPr="00947594">
        <w:rPr>
          <w:rFonts w:cs="Arial"/>
          <w:color w:val="000000"/>
        </w:rPr>
        <w:t xml:space="preserve">nioski, które wpłynęły po upływnie wyznaczonego terminu, zgodnie z art. 41 ustawy z dnia </w:t>
      </w:r>
      <w:r w:rsidR="00E61657" w:rsidRPr="00947594">
        <w:rPr>
          <w:rFonts w:cs="Arial"/>
          <w:color w:val="000000"/>
        </w:rPr>
        <w:t>3.10.2008 r. o udostępnianiu informacji o środowisku i jego ochronie, udziale społeczeństwa w ochronie środowiska oraz o ocenach oddziaływania na środowisko</w:t>
      </w:r>
      <w:r w:rsidRPr="00947594">
        <w:rPr>
          <w:rFonts w:cs="Arial"/>
          <w:color w:val="000000"/>
        </w:rPr>
        <w:t xml:space="preserve">, pozostawiono bez rozpatrzenia. </w:t>
      </w:r>
    </w:p>
    <w:p w14:paraId="455DCF53" w14:textId="77777777" w:rsidR="00F20AC0" w:rsidRPr="00947594" w:rsidRDefault="003B1828" w:rsidP="00577B6B">
      <w:pPr>
        <w:pStyle w:val="Nagwek1"/>
        <w:spacing w:line="360" w:lineRule="auto"/>
      </w:pPr>
      <w:r w:rsidRPr="00947594">
        <w:t>Uwzględnienie wyników</w:t>
      </w:r>
      <w:r w:rsidR="000854BB" w:rsidRPr="00947594">
        <w:t xml:space="preserve"> postępowania dotyczącego transgranicznego oddziaływania na środowisko</w:t>
      </w:r>
    </w:p>
    <w:p w14:paraId="3AE76D8F" w14:textId="77777777" w:rsidR="00D770FA" w:rsidRPr="00947594" w:rsidRDefault="003B60B3" w:rsidP="00577B6B">
      <w:pPr>
        <w:spacing w:line="360" w:lineRule="auto"/>
        <w:ind w:firstLine="708"/>
        <w:rPr>
          <w:rFonts w:cs="Arial"/>
        </w:rPr>
      </w:pPr>
      <w:r w:rsidRPr="00947594">
        <w:rPr>
          <w:rFonts w:cs="Arial"/>
        </w:rPr>
        <w:t xml:space="preserve">W wyniku przeprowadzonych analiz nie stwierdzono, aby </w:t>
      </w:r>
      <w:r w:rsidR="00D770FA" w:rsidRPr="00947594">
        <w:rPr>
          <w:rFonts w:cs="Arial"/>
        </w:rPr>
        <w:t xml:space="preserve">projekt Planu Gospodarki Odpadami dla Województwa Podkarpackiego na lata 2020 – 2026 </w:t>
      </w:r>
      <w:r w:rsidR="0075292F">
        <w:rPr>
          <w:rFonts w:cs="Arial"/>
        </w:rPr>
        <w:br/>
      </w:r>
      <w:r w:rsidR="00D770FA" w:rsidRPr="00947594">
        <w:rPr>
          <w:rFonts w:cs="Arial"/>
        </w:rPr>
        <w:t xml:space="preserve">z perspektywą do 2032 roku powodował oddziaływanie na środowisko w aspekcie transgranicznym </w:t>
      </w:r>
    </w:p>
    <w:p w14:paraId="5B62C896" w14:textId="77777777" w:rsidR="00DD57E2" w:rsidRPr="00947594" w:rsidRDefault="00DD57E2" w:rsidP="00577B6B">
      <w:pPr>
        <w:spacing w:line="360" w:lineRule="auto"/>
        <w:ind w:firstLine="708"/>
        <w:rPr>
          <w:rFonts w:cs="Arial"/>
        </w:rPr>
      </w:pPr>
      <w:r w:rsidRPr="00947594">
        <w:rPr>
          <w:rFonts w:cs="Arial"/>
        </w:rPr>
        <w:t xml:space="preserve">Należy jednakże zastrzec w tym miejscu, że oddziaływań takich nie można wykluczyć przed ostatecznym dodefiniowaniem szczegółowych rozwiązań technologicznych i programowo-przestrzennych w ramach poszczególnych przedsięwzięć i szczegółowej oceny zasięgu i skali oddziaływania tych przedsięwzięć – oceny takie będą jednak możliwe dopiero na poziomie szczegółowości ocen oddziaływania na środowisko poszczególnych przedsięwzięć (tj. na etapie </w:t>
      </w:r>
      <w:r w:rsidRPr="00947594">
        <w:rPr>
          <w:rFonts w:cs="Arial"/>
        </w:rPr>
        <w:lastRenderedPageBreak/>
        <w:t>opracowywania wniosków o wydanie decyzji o środowiskowych uwarunkowaniach zgody na realizację przedsięwzięcia, w tym raportów z oceny oddziaływania na środowisko poszczególnych przedsięwzięć).</w:t>
      </w:r>
    </w:p>
    <w:p w14:paraId="77B600D3" w14:textId="5C4AB0B9" w:rsidR="00DD57E2" w:rsidRPr="00947594" w:rsidRDefault="00DD57E2" w:rsidP="00577B6B">
      <w:pPr>
        <w:spacing w:line="360" w:lineRule="auto"/>
        <w:rPr>
          <w:rFonts w:cs="Arial"/>
        </w:rPr>
      </w:pPr>
      <w:r w:rsidRPr="00947594">
        <w:rPr>
          <w:rFonts w:cs="Arial"/>
        </w:rPr>
        <w:t xml:space="preserve">Należy w tym miejscu odnotować, że dla części planowanych inwestycji wydano już decyzje o środowiskowych uwarunkowaniach na ich realizację, co pozwala na jednoznaczne stwierdzenie możliwości ich realizacji w zaplanowanej lokalizacji </w:t>
      </w:r>
      <w:r w:rsidR="00416345">
        <w:rPr>
          <w:rFonts w:cs="Arial"/>
        </w:rPr>
        <w:br/>
      </w:r>
      <w:r w:rsidRPr="00947594">
        <w:rPr>
          <w:rFonts w:cs="Arial"/>
        </w:rPr>
        <w:t>i w zaplanowanym kształcie (z punktu widzenia oddziaływań środowiskowych, w tym również oddziaływań transgranicznych).</w:t>
      </w:r>
    </w:p>
    <w:p w14:paraId="1C4A92CB" w14:textId="77777777" w:rsidR="003B1828" w:rsidRPr="00947594" w:rsidRDefault="001C30B0" w:rsidP="00577B6B">
      <w:pPr>
        <w:pStyle w:val="Nagwek1"/>
        <w:spacing w:line="360" w:lineRule="auto"/>
      </w:pPr>
      <w:r w:rsidRPr="00947594">
        <w:t xml:space="preserve">Uwzględnienie propozycji dotyczących metod </w:t>
      </w:r>
      <w:r w:rsidR="00B02204" w:rsidRPr="00947594">
        <w:t>i częstotliwości przeprowadzania monitoringu skutków realizacji postanowień dokumentu</w:t>
      </w:r>
    </w:p>
    <w:p w14:paraId="73EE3E33" w14:textId="77777777" w:rsidR="00923B98" w:rsidRPr="00947594" w:rsidRDefault="00923B98" w:rsidP="00577B6B">
      <w:pPr>
        <w:spacing w:line="360" w:lineRule="auto"/>
        <w:rPr>
          <w:rFonts w:cs="Arial"/>
        </w:rPr>
      </w:pPr>
      <w:r w:rsidRPr="00947594">
        <w:rPr>
          <w:rFonts w:cs="Arial"/>
        </w:rPr>
        <w:t xml:space="preserve">Prowadzenie monitoringu zaplanowanych działań jest niezbędnym procesem, służącym właściwej realizacji i wdrażaniu niniejszego dokumentu. Monitorowanie programu ściśle powiązane jest z zadaniami i odpowiedzialnością wynikającą </w:t>
      </w:r>
      <w:r w:rsidR="0075292F">
        <w:rPr>
          <w:rFonts w:cs="Arial"/>
        </w:rPr>
        <w:br/>
      </w:r>
      <w:r w:rsidRPr="00947594">
        <w:rPr>
          <w:rFonts w:cs="Arial"/>
        </w:rPr>
        <w:t>z obecnej struktury systemu gospodarki odpadami.</w:t>
      </w:r>
    </w:p>
    <w:p w14:paraId="15D51D2C" w14:textId="77777777" w:rsidR="00923B98" w:rsidRPr="00947594" w:rsidRDefault="00923B98" w:rsidP="00577B6B">
      <w:pPr>
        <w:spacing w:line="360" w:lineRule="auto"/>
        <w:rPr>
          <w:rFonts w:cs="Arial"/>
        </w:rPr>
      </w:pPr>
      <w:r w:rsidRPr="00947594">
        <w:rPr>
          <w:rFonts w:cs="Arial"/>
        </w:rPr>
        <w:t xml:space="preserve">Ocena wdrażania założeń i postanowień dokumentu zostanie przeprowadzona </w:t>
      </w:r>
      <w:r w:rsidR="0075292F">
        <w:rPr>
          <w:rFonts w:cs="Arial"/>
        </w:rPr>
        <w:br/>
      </w:r>
      <w:r w:rsidRPr="00947594">
        <w:rPr>
          <w:rFonts w:cs="Arial"/>
        </w:rPr>
        <w:t>w formie sprawozdania z realizacji planu gospodarki odpadami obejmującego okres 3 lat sprawozdawczych. Sprawozdanie z wojewódzkiego planu gospodarki odpadami przygotowuje Zarząd Województwa i przedkłada Sejmikowi Województwa oraz Ministrowi właściwemu ds. Klimatu, w terminie 12 miesięcy po upływie okresu sprawozdawczego.</w:t>
      </w:r>
    </w:p>
    <w:p w14:paraId="2BCCD12A" w14:textId="77777777" w:rsidR="00923B98" w:rsidRPr="00947594" w:rsidRDefault="00923B98" w:rsidP="00577B6B">
      <w:pPr>
        <w:spacing w:line="360" w:lineRule="auto"/>
        <w:rPr>
          <w:rFonts w:cs="Arial"/>
          <w:strike/>
        </w:rPr>
      </w:pPr>
      <w:r w:rsidRPr="00947594">
        <w:rPr>
          <w:rFonts w:cs="Arial"/>
        </w:rPr>
        <w:t xml:space="preserve">Gospodarowanie odpadami komunalnymi także podlega rocznemu obowiązkowi sprawozdawczości, zarówno na poziomie gminnym, jak i wojewódzkim. Wójt, burmistrz lub prezydent miasta w terminie do 31 marca przedkłada Marszałkowi Województwa i Wojewódzkiemu Inspektorowi Ochrony Środowiska, a Marszałek Województwa do 15 lipca za poprzedni rok kalendarzowy Ministrowi właściwemu </w:t>
      </w:r>
      <w:r w:rsidR="0075292F">
        <w:rPr>
          <w:rFonts w:cs="Arial"/>
        </w:rPr>
        <w:br/>
      </w:r>
      <w:r w:rsidRPr="00947594">
        <w:rPr>
          <w:rFonts w:cs="Arial"/>
        </w:rPr>
        <w:t>ds. Klimatu sprawozdania zawierające informacje wymagane ustawą o utrzymaniu czystości i porządku w gminach.</w:t>
      </w:r>
    </w:p>
    <w:p w14:paraId="6B810A3A" w14:textId="77777777" w:rsidR="00923B98" w:rsidRPr="00947594" w:rsidRDefault="00505F6F" w:rsidP="00577B6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Realizacja postanowień dokumentu </w:t>
      </w:r>
      <w:r w:rsidR="00923B98" w:rsidRPr="00947594">
        <w:rPr>
          <w:rFonts w:cs="Arial"/>
        </w:rPr>
        <w:t>będzie się opierał</w:t>
      </w:r>
      <w:r>
        <w:rPr>
          <w:rFonts w:cs="Arial"/>
        </w:rPr>
        <w:t>a</w:t>
      </w:r>
      <w:r w:rsidR="00923B98" w:rsidRPr="00947594">
        <w:rPr>
          <w:rFonts w:cs="Arial"/>
        </w:rPr>
        <w:t xml:space="preserve"> również na wskaźnikach, które zostały dobrane w sposób umożliwiający pozyskanie danych oraz sprawne prowadzenie monitoringu planowanych przedsięwzięć inwestycyjnych, a także przeprowadzenie analizy stanu gospodarki odpadami w województwie. Podstawowym źródłem danych o wartości poszczególnych wskaźników powinny być informacje zawarte w Bazie danych </w:t>
      </w:r>
      <w:r w:rsidR="0075292F">
        <w:rPr>
          <w:rFonts w:cs="Arial"/>
        </w:rPr>
        <w:t>o produktach, opakowaniach oraz o gospodarce odpadami</w:t>
      </w:r>
      <w:r w:rsidR="00923B98" w:rsidRPr="00947594">
        <w:rPr>
          <w:rFonts w:cs="Arial"/>
        </w:rPr>
        <w:t xml:space="preserve"> prowadzonej przez Marszałka Województwa. Wskazane jest również wykorzystanie danych pochodzących z Głównego Urzędu Statystycznego (GUS), Wojewódzkiego Inspektoratu Ochrony Środowiska (WIOŚ) oraz danych własnych Urzędu Marszałkowskiego Województwa.</w:t>
      </w:r>
    </w:p>
    <w:p w14:paraId="2F75EAFE" w14:textId="07DB83D5" w:rsidR="007E1514" w:rsidRDefault="00923B98" w:rsidP="00577B6B">
      <w:pPr>
        <w:spacing w:line="360" w:lineRule="auto"/>
        <w:rPr>
          <w:rFonts w:cs="Arial"/>
        </w:rPr>
      </w:pPr>
      <w:r w:rsidRPr="00947594">
        <w:rPr>
          <w:rFonts w:cs="Arial"/>
        </w:rPr>
        <w:t xml:space="preserve">Dla potrzeb monitowania Planu Gospodarki Odpadami dla Województwa Podkarpackiego na lata 2020 – 2026 z perspektywą do 2032 roku </w:t>
      </w:r>
      <w:r w:rsidR="00593785" w:rsidRPr="00947594">
        <w:rPr>
          <w:rFonts w:cs="Arial"/>
        </w:rPr>
        <w:t xml:space="preserve">(WPGO) </w:t>
      </w:r>
      <w:r w:rsidRPr="00947594">
        <w:rPr>
          <w:rFonts w:cs="Arial"/>
        </w:rPr>
        <w:t>określono</w:t>
      </w:r>
      <w:r w:rsidR="00593785" w:rsidRPr="00947594">
        <w:rPr>
          <w:rFonts w:cs="Arial"/>
        </w:rPr>
        <w:t xml:space="preserve">  wskaźniki, które będą monitorowane</w:t>
      </w:r>
      <w:r w:rsidR="00E52EA6" w:rsidRPr="00947594">
        <w:rPr>
          <w:rFonts w:cs="Arial"/>
        </w:rPr>
        <w:t>:</w:t>
      </w:r>
      <w:r w:rsidR="00593785" w:rsidRPr="00947594">
        <w:rPr>
          <w:rFonts w:cs="Arial"/>
        </w:rPr>
        <w:t xml:space="preserve"> </w:t>
      </w:r>
      <w:r w:rsidR="00E52EA6" w:rsidRPr="00947594">
        <w:rPr>
          <w:rFonts w:cs="Arial"/>
        </w:rPr>
        <w:t xml:space="preserve">w zakresie gospodarki odpadami komunalnymi, </w:t>
      </w:r>
      <w:r w:rsidR="00947594" w:rsidRPr="00947594">
        <w:rPr>
          <w:rFonts w:cs="Arial"/>
        </w:rPr>
        <w:br/>
      </w:r>
      <w:r w:rsidR="00E52EA6" w:rsidRPr="00947594">
        <w:rPr>
          <w:rFonts w:cs="Arial"/>
        </w:rPr>
        <w:t>w zakresie gospodarki odpadami niebezpiecznymi, w zakresie gospodarki odpadami pozostałymi. Prowadzony będzie także monitoring celów działań programu zapobiegania powstawaniu odpadów (ZPO) oraz monitoring ogólnych celów wdrażania WPGO.</w:t>
      </w:r>
    </w:p>
    <w:p w14:paraId="73523E51" w14:textId="352D93FA" w:rsidR="007E1514" w:rsidRDefault="007E1514" w:rsidP="00577B6B">
      <w:pPr>
        <w:spacing w:line="360" w:lineRule="auto"/>
        <w:rPr>
          <w:rFonts w:cs="Arial"/>
        </w:rPr>
      </w:pPr>
    </w:p>
    <w:p w14:paraId="1372E846" w14:textId="163BBCA3" w:rsidR="007E1514" w:rsidRPr="007E1514" w:rsidRDefault="00111F5F" w:rsidP="00111F5F">
      <w:pPr>
        <w:spacing w:line="360" w:lineRule="auto"/>
        <w:ind w:left="4956"/>
        <w:jc w:val="center"/>
        <w:rPr>
          <w:rFonts w:cs="Arial"/>
          <w:i/>
          <w:iCs/>
          <w:sz w:val="20"/>
          <w:szCs w:val="18"/>
        </w:rPr>
      </w:pPr>
      <w:r w:rsidRPr="00111F5F">
        <w:rPr>
          <w:rFonts w:cs="Arial"/>
          <w:sz w:val="20"/>
          <w:szCs w:val="18"/>
        </w:rPr>
        <w:t>Z up. Zarządu Województwa Podkarpackiego</w:t>
      </w:r>
      <w:r>
        <w:rPr>
          <w:rFonts w:cs="Arial"/>
          <w:sz w:val="20"/>
          <w:szCs w:val="18"/>
        </w:rPr>
        <w:br/>
      </w:r>
      <w:r w:rsidRPr="00111F5F">
        <w:rPr>
          <w:rFonts w:cs="Arial"/>
          <w:sz w:val="20"/>
          <w:szCs w:val="18"/>
        </w:rPr>
        <w:t xml:space="preserve">Andrzej Kulig </w:t>
      </w:r>
      <w:r w:rsidRPr="00111F5F">
        <w:rPr>
          <w:rFonts w:cs="Arial"/>
          <w:sz w:val="20"/>
          <w:szCs w:val="18"/>
        </w:rPr>
        <w:br/>
        <w:t>Dyrektor Departamentu Ochrony Środowiska</w:t>
      </w:r>
    </w:p>
    <w:sectPr w:rsidR="007E1514" w:rsidRPr="007E1514" w:rsidSect="00E535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547B" w14:textId="77777777" w:rsidR="00FD4462" w:rsidRDefault="00FD4462" w:rsidP="00495F59">
      <w:pPr>
        <w:spacing w:after="0" w:line="240" w:lineRule="auto"/>
      </w:pPr>
      <w:r>
        <w:separator/>
      </w:r>
    </w:p>
  </w:endnote>
  <w:endnote w:type="continuationSeparator" w:id="0">
    <w:p w14:paraId="5C211E49" w14:textId="77777777" w:rsidR="00FD4462" w:rsidRDefault="00FD4462" w:rsidP="0049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C9A" w14:textId="77777777" w:rsidR="00495F59" w:rsidRDefault="00495F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4E44">
      <w:rPr>
        <w:noProof/>
      </w:rPr>
      <w:t>17</w:t>
    </w:r>
    <w:r>
      <w:fldChar w:fldCharType="end"/>
    </w:r>
  </w:p>
  <w:p w14:paraId="775B0A45" w14:textId="77777777" w:rsidR="00495F59" w:rsidRDefault="00495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0D53" w14:textId="77777777" w:rsidR="00FD4462" w:rsidRDefault="00FD4462" w:rsidP="00495F59">
      <w:pPr>
        <w:spacing w:after="0" w:line="240" w:lineRule="auto"/>
      </w:pPr>
      <w:r>
        <w:separator/>
      </w:r>
    </w:p>
  </w:footnote>
  <w:footnote w:type="continuationSeparator" w:id="0">
    <w:p w14:paraId="7B2608B0" w14:textId="77777777" w:rsidR="00FD4462" w:rsidRDefault="00FD4462" w:rsidP="0049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/>
        <w:b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114B16C3"/>
    <w:multiLevelType w:val="hybridMultilevel"/>
    <w:tmpl w:val="B22E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183"/>
    <w:multiLevelType w:val="hybridMultilevel"/>
    <w:tmpl w:val="6A58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EA"/>
    <w:multiLevelType w:val="hybridMultilevel"/>
    <w:tmpl w:val="9AB0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43C"/>
    <w:multiLevelType w:val="hybridMultilevel"/>
    <w:tmpl w:val="8E1C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8FD"/>
    <w:multiLevelType w:val="hybridMultilevel"/>
    <w:tmpl w:val="8E1C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41A6"/>
    <w:multiLevelType w:val="hybridMultilevel"/>
    <w:tmpl w:val="70B2F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B2D"/>
    <w:multiLevelType w:val="hybridMultilevel"/>
    <w:tmpl w:val="BD02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FA9"/>
    <w:multiLevelType w:val="hybridMultilevel"/>
    <w:tmpl w:val="BBF0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59CF"/>
    <w:multiLevelType w:val="hybridMultilevel"/>
    <w:tmpl w:val="52F4EC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00472"/>
    <w:multiLevelType w:val="hybridMultilevel"/>
    <w:tmpl w:val="4F82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8F0"/>
    <w:multiLevelType w:val="hybridMultilevel"/>
    <w:tmpl w:val="04B6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8542E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73B5"/>
    <w:multiLevelType w:val="multilevel"/>
    <w:tmpl w:val="7A42A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0450BE7"/>
    <w:multiLevelType w:val="hybridMultilevel"/>
    <w:tmpl w:val="9DF0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848D9"/>
    <w:multiLevelType w:val="hybridMultilevel"/>
    <w:tmpl w:val="8E0A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33F7"/>
    <w:multiLevelType w:val="hybridMultilevel"/>
    <w:tmpl w:val="170A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3277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51361ED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BD0647C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4023CE0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5976E37"/>
    <w:multiLevelType w:val="hybridMultilevel"/>
    <w:tmpl w:val="ED961738"/>
    <w:lvl w:ilvl="0" w:tplc="28CA1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190F"/>
    <w:multiLevelType w:val="hybridMultilevel"/>
    <w:tmpl w:val="697E7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96CF6"/>
    <w:multiLevelType w:val="hybridMultilevel"/>
    <w:tmpl w:val="21588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765304"/>
    <w:multiLevelType w:val="hybridMultilevel"/>
    <w:tmpl w:val="108AF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A06A8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B8B3F3D"/>
    <w:multiLevelType w:val="hybridMultilevel"/>
    <w:tmpl w:val="ADF88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5907"/>
    <w:multiLevelType w:val="hybridMultilevel"/>
    <w:tmpl w:val="439AC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31B21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6338A4"/>
    <w:multiLevelType w:val="multilevel"/>
    <w:tmpl w:val="896C74AE"/>
    <w:lvl w:ilvl="0">
      <w:start w:val="1"/>
      <w:numFmt w:val="decimal"/>
      <w:pStyle w:val="Nagwek1"/>
      <w:lvlText w:val="%1."/>
      <w:lvlJc w:val="left"/>
      <w:pPr>
        <w:ind w:left="907" w:hanging="339"/>
      </w:pPr>
      <w:rPr>
        <w:rFonts w:ascii="Calibri" w:hAnsi="Calibri" w:cs="Calibri"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6"/>
        <w:szCs w:val="22"/>
      </w:rPr>
    </w:lvl>
    <w:lvl w:ilvl="3">
      <w:start w:val="1"/>
      <w:numFmt w:val="decimal"/>
      <w:pStyle w:val="Nagwek4"/>
      <w:lvlText w:val="%1.%2.%3.%4."/>
      <w:lvlJc w:val="left"/>
      <w:pPr>
        <w:ind w:left="1957" w:hanging="1247"/>
      </w:pPr>
      <w:rPr>
        <w:rFonts w:ascii="Calibri" w:hAnsi="Calibri" w:cs="Calibri" w:hint="default"/>
        <w:b/>
        <w:bCs/>
        <w:i w:val="0"/>
        <w:iCs w:val="0"/>
        <w:sz w:val="24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4877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30" w15:restartNumberingAfterBreak="0">
    <w:nsid w:val="71773891"/>
    <w:multiLevelType w:val="multilevel"/>
    <w:tmpl w:val="98FEE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59E7C39"/>
    <w:multiLevelType w:val="hybridMultilevel"/>
    <w:tmpl w:val="C556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10885"/>
    <w:multiLevelType w:val="hybridMultilevel"/>
    <w:tmpl w:val="3DFE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4717C"/>
    <w:multiLevelType w:val="hybridMultilevel"/>
    <w:tmpl w:val="C9287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9"/>
  </w:num>
  <w:num w:numId="5">
    <w:abstractNumId w:val="4"/>
  </w:num>
  <w:num w:numId="6">
    <w:abstractNumId w:val="31"/>
  </w:num>
  <w:num w:numId="7">
    <w:abstractNumId w:val="7"/>
  </w:num>
  <w:num w:numId="8">
    <w:abstractNumId w:val="3"/>
  </w:num>
  <w:num w:numId="9">
    <w:abstractNumId w:val="8"/>
  </w:num>
  <w:num w:numId="10">
    <w:abstractNumId w:val="22"/>
  </w:num>
  <w:num w:numId="11">
    <w:abstractNumId w:val="5"/>
  </w:num>
  <w:num w:numId="12">
    <w:abstractNumId w:val="10"/>
  </w:num>
  <w:num w:numId="13">
    <w:abstractNumId w:val="6"/>
  </w:num>
  <w:num w:numId="14">
    <w:abstractNumId w:val="23"/>
  </w:num>
  <w:num w:numId="15">
    <w:abstractNumId w:val="32"/>
  </w:num>
  <w:num w:numId="16">
    <w:abstractNumId w:val="16"/>
  </w:num>
  <w:num w:numId="17">
    <w:abstractNumId w:val="15"/>
  </w:num>
  <w:num w:numId="18">
    <w:abstractNumId w:val="17"/>
  </w:num>
  <w:num w:numId="19">
    <w:abstractNumId w:val="13"/>
  </w:num>
  <w:num w:numId="20">
    <w:abstractNumId w:val="21"/>
  </w:num>
  <w:num w:numId="21">
    <w:abstractNumId w:val="28"/>
  </w:num>
  <w:num w:numId="22">
    <w:abstractNumId w:val="30"/>
  </w:num>
  <w:num w:numId="23">
    <w:abstractNumId w:val="19"/>
  </w:num>
  <w:num w:numId="24">
    <w:abstractNumId w:val="18"/>
  </w:num>
  <w:num w:numId="25">
    <w:abstractNumId w:val="20"/>
  </w:num>
  <w:num w:numId="26">
    <w:abstractNumId w:val="25"/>
  </w:num>
  <w:num w:numId="27">
    <w:abstractNumId w:val="2"/>
  </w:num>
  <w:num w:numId="28">
    <w:abstractNumId w:val="12"/>
  </w:num>
  <w:num w:numId="32">
    <w:abstractNumId w:val="11"/>
  </w:num>
  <w:num w:numId="33">
    <w:abstractNumId w:val="24"/>
  </w:num>
  <w:num w:numId="34">
    <w:abstractNumId w:val="26"/>
  </w:num>
  <w:num w:numId="35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52"/>
    <w:rsid w:val="000042D9"/>
    <w:rsid w:val="00014237"/>
    <w:rsid w:val="000157FA"/>
    <w:rsid w:val="00020E87"/>
    <w:rsid w:val="00025D90"/>
    <w:rsid w:val="00047987"/>
    <w:rsid w:val="00056692"/>
    <w:rsid w:val="000831A2"/>
    <w:rsid w:val="000854BB"/>
    <w:rsid w:val="0009130D"/>
    <w:rsid w:val="000A0C10"/>
    <w:rsid w:val="000B026E"/>
    <w:rsid w:val="000B2FD4"/>
    <w:rsid w:val="000B69F5"/>
    <w:rsid w:val="000D06F2"/>
    <w:rsid w:val="000E3F54"/>
    <w:rsid w:val="000E5968"/>
    <w:rsid w:val="00104676"/>
    <w:rsid w:val="00111F5F"/>
    <w:rsid w:val="00114E9B"/>
    <w:rsid w:val="00114FC4"/>
    <w:rsid w:val="00115596"/>
    <w:rsid w:val="00117B4B"/>
    <w:rsid w:val="0012345A"/>
    <w:rsid w:val="0012607F"/>
    <w:rsid w:val="001324C3"/>
    <w:rsid w:val="00135A78"/>
    <w:rsid w:val="001370D2"/>
    <w:rsid w:val="001401AB"/>
    <w:rsid w:val="0014022B"/>
    <w:rsid w:val="0014674A"/>
    <w:rsid w:val="00147C97"/>
    <w:rsid w:val="00151DD5"/>
    <w:rsid w:val="00160368"/>
    <w:rsid w:val="001661ED"/>
    <w:rsid w:val="00180C49"/>
    <w:rsid w:val="00185F04"/>
    <w:rsid w:val="0019403A"/>
    <w:rsid w:val="00197F46"/>
    <w:rsid w:val="001B1D3B"/>
    <w:rsid w:val="001B52AB"/>
    <w:rsid w:val="001C084A"/>
    <w:rsid w:val="001C30B0"/>
    <w:rsid w:val="001C59BD"/>
    <w:rsid w:val="001D4652"/>
    <w:rsid w:val="001D6165"/>
    <w:rsid w:val="001F0FD2"/>
    <w:rsid w:val="002076F8"/>
    <w:rsid w:val="0021275A"/>
    <w:rsid w:val="0021449A"/>
    <w:rsid w:val="00214FB9"/>
    <w:rsid w:val="002178D6"/>
    <w:rsid w:val="00220D99"/>
    <w:rsid w:val="00221791"/>
    <w:rsid w:val="00241189"/>
    <w:rsid w:val="00244D72"/>
    <w:rsid w:val="00250842"/>
    <w:rsid w:val="0026108F"/>
    <w:rsid w:val="00266304"/>
    <w:rsid w:val="00285E55"/>
    <w:rsid w:val="002879C9"/>
    <w:rsid w:val="00294AD6"/>
    <w:rsid w:val="00297CA1"/>
    <w:rsid w:val="002A09DF"/>
    <w:rsid w:val="002A427D"/>
    <w:rsid w:val="002A4BDB"/>
    <w:rsid w:val="002A78E3"/>
    <w:rsid w:val="002B4483"/>
    <w:rsid w:val="002B5EA7"/>
    <w:rsid w:val="002B73AE"/>
    <w:rsid w:val="002B7A9D"/>
    <w:rsid w:val="002C0485"/>
    <w:rsid w:val="002D228C"/>
    <w:rsid w:val="002E0692"/>
    <w:rsid w:val="002E52C2"/>
    <w:rsid w:val="002F048B"/>
    <w:rsid w:val="002F66BD"/>
    <w:rsid w:val="002F6E33"/>
    <w:rsid w:val="002F739D"/>
    <w:rsid w:val="0030764E"/>
    <w:rsid w:val="00307682"/>
    <w:rsid w:val="00341CC3"/>
    <w:rsid w:val="00343BCC"/>
    <w:rsid w:val="00347A24"/>
    <w:rsid w:val="0035613F"/>
    <w:rsid w:val="003731B9"/>
    <w:rsid w:val="00375221"/>
    <w:rsid w:val="003761F9"/>
    <w:rsid w:val="00377DF7"/>
    <w:rsid w:val="003A1FDB"/>
    <w:rsid w:val="003B06E7"/>
    <w:rsid w:val="003B1828"/>
    <w:rsid w:val="003B48F7"/>
    <w:rsid w:val="003B60B3"/>
    <w:rsid w:val="003B703C"/>
    <w:rsid w:val="003C16A3"/>
    <w:rsid w:val="003C29F5"/>
    <w:rsid w:val="003C4F36"/>
    <w:rsid w:val="003D685F"/>
    <w:rsid w:val="003E6FF0"/>
    <w:rsid w:val="003F64C7"/>
    <w:rsid w:val="00411FC9"/>
    <w:rsid w:val="0041270A"/>
    <w:rsid w:val="00416345"/>
    <w:rsid w:val="004163C6"/>
    <w:rsid w:val="004240F0"/>
    <w:rsid w:val="0042440C"/>
    <w:rsid w:val="00426624"/>
    <w:rsid w:val="004271C5"/>
    <w:rsid w:val="00441C0F"/>
    <w:rsid w:val="00447BD4"/>
    <w:rsid w:val="0045488D"/>
    <w:rsid w:val="00457D19"/>
    <w:rsid w:val="004823AB"/>
    <w:rsid w:val="00494D41"/>
    <w:rsid w:val="004954C6"/>
    <w:rsid w:val="00495F59"/>
    <w:rsid w:val="004A4E44"/>
    <w:rsid w:val="004C0669"/>
    <w:rsid w:val="004C1321"/>
    <w:rsid w:val="004C4DA7"/>
    <w:rsid w:val="004C69DD"/>
    <w:rsid w:val="004C700C"/>
    <w:rsid w:val="004D4205"/>
    <w:rsid w:val="00501C5A"/>
    <w:rsid w:val="00502694"/>
    <w:rsid w:val="00505F6F"/>
    <w:rsid w:val="00512A68"/>
    <w:rsid w:val="00516B5A"/>
    <w:rsid w:val="005176F9"/>
    <w:rsid w:val="005455B9"/>
    <w:rsid w:val="005578FD"/>
    <w:rsid w:val="00561380"/>
    <w:rsid w:val="00563298"/>
    <w:rsid w:val="00577B6B"/>
    <w:rsid w:val="005807E8"/>
    <w:rsid w:val="005910BD"/>
    <w:rsid w:val="0059248B"/>
    <w:rsid w:val="00593785"/>
    <w:rsid w:val="005B40FB"/>
    <w:rsid w:val="005B6CE8"/>
    <w:rsid w:val="005C61C5"/>
    <w:rsid w:val="005F0371"/>
    <w:rsid w:val="005F30F7"/>
    <w:rsid w:val="005F49F9"/>
    <w:rsid w:val="005F4CB3"/>
    <w:rsid w:val="005F6864"/>
    <w:rsid w:val="00600FFB"/>
    <w:rsid w:val="0060117E"/>
    <w:rsid w:val="006040F9"/>
    <w:rsid w:val="00606DF2"/>
    <w:rsid w:val="0061372E"/>
    <w:rsid w:val="00620FEE"/>
    <w:rsid w:val="0062398A"/>
    <w:rsid w:val="006313A5"/>
    <w:rsid w:val="00632A9D"/>
    <w:rsid w:val="006332D3"/>
    <w:rsid w:val="0063454A"/>
    <w:rsid w:val="006372FA"/>
    <w:rsid w:val="00653665"/>
    <w:rsid w:val="00660232"/>
    <w:rsid w:val="00660A9F"/>
    <w:rsid w:val="00664AC2"/>
    <w:rsid w:val="006765B6"/>
    <w:rsid w:val="006774E8"/>
    <w:rsid w:val="0068163A"/>
    <w:rsid w:val="0068461B"/>
    <w:rsid w:val="006846C6"/>
    <w:rsid w:val="00687FE3"/>
    <w:rsid w:val="00692A47"/>
    <w:rsid w:val="00692D37"/>
    <w:rsid w:val="006A144D"/>
    <w:rsid w:val="006A643B"/>
    <w:rsid w:val="006B5409"/>
    <w:rsid w:val="006D6EAE"/>
    <w:rsid w:val="006E7819"/>
    <w:rsid w:val="006F4B81"/>
    <w:rsid w:val="006F51AD"/>
    <w:rsid w:val="00707E9C"/>
    <w:rsid w:val="00726427"/>
    <w:rsid w:val="00726C3C"/>
    <w:rsid w:val="00742BC5"/>
    <w:rsid w:val="0074536A"/>
    <w:rsid w:val="007462E1"/>
    <w:rsid w:val="00746E75"/>
    <w:rsid w:val="007503A2"/>
    <w:rsid w:val="0075292F"/>
    <w:rsid w:val="0075572B"/>
    <w:rsid w:val="00755FCE"/>
    <w:rsid w:val="00763F8E"/>
    <w:rsid w:val="00772D79"/>
    <w:rsid w:val="0078225F"/>
    <w:rsid w:val="00783649"/>
    <w:rsid w:val="00790ABA"/>
    <w:rsid w:val="007929D7"/>
    <w:rsid w:val="007A18EF"/>
    <w:rsid w:val="007A26F0"/>
    <w:rsid w:val="007B1910"/>
    <w:rsid w:val="007B58CF"/>
    <w:rsid w:val="007B7376"/>
    <w:rsid w:val="007B7519"/>
    <w:rsid w:val="007D32DA"/>
    <w:rsid w:val="007E1514"/>
    <w:rsid w:val="007F0FBD"/>
    <w:rsid w:val="007F29F2"/>
    <w:rsid w:val="007F5F8E"/>
    <w:rsid w:val="008214D6"/>
    <w:rsid w:val="008230A9"/>
    <w:rsid w:val="00826125"/>
    <w:rsid w:val="00827510"/>
    <w:rsid w:val="00833637"/>
    <w:rsid w:val="00835E5E"/>
    <w:rsid w:val="00836E61"/>
    <w:rsid w:val="008407FB"/>
    <w:rsid w:val="0084157D"/>
    <w:rsid w:val="00855E98"/>
    <w:rsid w:val="00864506"/>
    <w:rsid w:val="00870674"/>
    <w:rsid w:val="008710BE"/>
    <w:rsid w:val="00880C7C"/>
    <w:rsid w:val="008846FD"/>
    <w:rsid w:val="00894721"/>
    <w:rsid w:val="008A0017"/>
    <w:rsid w:val="008B3606"/>
    <w:rsid w:val="008B3E6F"/>
    <w:rsid w:val="008C1A7C"/>
    <w:rsid w:val="008C3CF5"/>
    <w:rsid w:val="008C6023"/>
    <w:rsid w:val="008C6FFA"/>
    <w:rsid w:val="008C7D2D"/>
    <w:rsid w:val="008D70F7"/>
    <w:rsid w:val="008E041F"/>
    <w:rsid w:val="008E6FCF"/>
    <w:rsid w:val="008F180F"/>
    <w:rsid w:val="008F24FB"/>
    <w:rsid w:val="008F2DA3"/>
    <w:rsid w:val="009109AE"/>
    <w:rsid w:val="00917887"/>
    <w:rsid w:val="00923B98"/>
    <w:rsid w:val="00926504"/>
    <w:rsid w:val="00927116"/>
    <w:rsid w:val="00930A09"/>
    <w:rsid w:val="0093310C"/>
    <w:rsid w:val="009344A2"/>
    <w:rsid w:val="00944EA3"/>
    <w:rsid w:val="00947594"/>
    <w:rsid w:val="009517D9"/>
    <w:rsid w:val="00974911"/>
    <w:rsid w:val="00976BEA"/>
    <w:rsid w:val="0098236F"/>
    <w:rsid w:val="009861DD"/>
    <w:rsid w:val="00995E01"/>
    <w:rsid w:val="009A10C3"/>
    <w:rsid w:val="009A3C13"/>
    <w:rsid w:val="009A6E70"/>
    <w:rsid w:val="009A706B"/>
    <w:rsid w:val="009B21A2"/>
    <w:rsid w:val="009B3416"/>
    <w:rsid w:val="009B7BE7"/>
    <w:rsid w:val="009D26AB"/>
    <w:rsid w:val="009D4DA2"/>
    <w:rsid w:val="009E27AF"/>
    <w:rsid w:val="009E5600"/>
    <w:rsid w:val="00A147EB"/>
    <w:rsid w:val="00A16800"/>
    <w:rsid w:val="00A20C62"/>
    <w:rsid w:val="00A318EB"/>
    <w:rsid w:val="00A37A95"/>
    <w:rsid w:val="00A37C5B"/>
    <w:rsid w:val="00A4116C"/>
    <w:rsid w:val="00A544DD"/>
    <w:rsid w:val="00A60DD7"/>
    <w:rsid w:val="00A745A7"/>
    <w:rsid w:val="00A750B1"/>
    <w:rsid w:val="00A87B46"/>
    <w:rsid w:val="00AC3C8E"/>
    <w:rsid w:val="00AC4060"/>
    <w:rsid w:val="00AC4790"/>
    <w:rsid w:val="00AD1B2F"/>
    <w:rsid w:val="00AD225A"/>
    <w:rsid w:val="00AE687C"/>
    <w:rsid w:val="00B002D8"/>
    <w:rsid w:val="00B01CEF"/>
    <w:rsid w:val="00B02204"/>
    <w:rsid w:val="00B0396D"/>
    <w:rsid w:val="00B03F5C"/>
    <w:rsid w:val="00B15C57"/>
    <w:rsid w:val="00B24C03"/>
    <w:rsid w:val="00B259A5"/>
    <w:rsid w:val="00B322C4"/>
    <w:rsid w:val="00B33018"/>
    <w:rsid w:val="00B44F84"/>
    <w:rsid w:val="00B55171"/>
    <w:rsid w:val="00B5638E"/>
    <w:rsid w:val="00B564E3"/>
    <w:rsid w:val="00B6016F"/>
    <w:rsid w:val="00B664CE"/>
    <w:rsid w:val="00B7197B"/>
    <w:rsid w:val="00B72D72"/>
    <w:rsid w:val="00B77939"/>
    <w:rsid w:val="00B92E19"/>
    <w:rsid w:val="00B969B1"/>
    <w:rsid w:val="00BA309C"/>
    <w:rsid w:val="00BB01AC"/>
    <w:rsid w:val="00BB3A83"/>
    <w:rsid w:val="00BB57A2"/>
    <w:rsid w:val="00BC5E0D"/>
    <w:rsid w:val="00BD68E7"/>
    <w:rsid w:val="00BF4972"/>
    <w:rsid w:val="00C05E88"/>
    <w:rsid w:val="00C11990"/>
    <w:rsid w:val="00C132B6"/>
    <w:rsid w:val="00C15206"/>
    <w:rsid w:val="00C15511"/>
    <w:rsid w:val="00C31DA2"/>
    <w:rsid w:val="00C34734"/>
    <w:rsid w:val="00C45EDB"/>
    <w:rsid w:val="00C54E87"/>
    <w:rsid w:val="00C56DB1"/>
    <w:rsid w:val="00C76FC9"/>
    <w:rsid w:val="00C86A2C"/>
    <w:rsid w:val="00C92B58"/>
    <w:rsid w:val="00C9701E"/>
    <w:rsid w:val="00CC2C9F"/>
    <w:rsid w:val="00CC3FFD"/>
    <w:rsid w:val="00CC7329"/>
    <w:rsid w:val="00CD0AE5"/>
    <w:rsid w:val="00CD2C77"/>
    <w:rsid w:val="00CE0F12"/>
    <w:rsid w:val="00CE4324"/>
    <w:rsid w:val="00CE5D1A"/>
    <w:rsid w:val="00D0195C"/>
    <w:rsid w:val="00D07127"/>
    <w:rsid w:val="00D07D17"/>
    <w:rsid w:val="00D12E31"/>
    <w:rsid w:val="00D26335"/>
    <w:rsid w:val="00D33ECB"/>
    <w:rsid w:val="00D3776E"/>
    <w:rsid w:val="00D510DB"/>
    <w:rsid w:val="00D707F1"/>
    <w:rsid w:val="00D770FA"/>
    <w:rsid w:val="00D9693D"/>
    <w:rsid w:val="00DB56FB"/>
    <w:rsid w:val="00DC5299"/>
    <w:rsid w:val="00DC7211"/>
    <w:rsid w:val="00DD2969"/>
    <w:rsid w:val="00DD57E2"/>
    <w:rsid w:val="00DE0435"/>
    <w:rsid w:val="00DE404F"/>
    <w:rsid w:val="00DE52A7"/>
    <w:rsid w:val="00DF0ABD"/>
    <w:rsid w:val="00DF0E50"/>
    <w:rsid w:val="00DF2FB8"/>
    <w:rsid w:val="00E144EC"/>
    <w:rsid w:val="00E20895"/>
    <w:rsid w:val="00E21EC0"/>
    <w:rsid w:val="00E350C6"/>
    <w:rsid w:val="00E44746"/>
    <w:rsid w:val="00E5014F"/>
    <w:rsid w:val="00E52EA6"/>
    <w:rsid w:val="00E53546"/>
    <w:rsid w:val="00E56462"/>
    <w:rsid w:val="00E61657"/>
    <w:rsid w:val="00E664E2"/>
    <w:rsid w:val="00E802C6"/>
    <w:rsid w:val="00E8155D"/>
    <w:rsid w:val="00E81627"/>
    <w:rsid w:val="00E94ED4"/>
    <w:rsid w:val="00EA1CA3"/>
    <w:rsid w:val="00EB2734"/>
    <w:rsid w:val="00EB5B49"/>
    <w:rsid w:val="00EC2B18"/>
    <w:rsid w:val="00EC4E82"/>
    <w:rsid w:val="00EE6FC5"/>
    <w:rsid w:val="00EF5CD1"/>
    <w:rsid w:val="00F03829"/>
    <w:rsid w:val="00F064E5"/>
    <w:rsid w:val="00F20AC0"/>
    <w:rsid w:val="00F3003C"/>
    <w:rsid w:val="00F36948"/>
    <w:rsid w:val="00F4588A"/>
    <w:rsid w:val="00F47D98"/>
    <w:rsid w:val="00F51048"/>
    <w:rsid w:val="00F53239"/>
    <w:rsid w:val="00F65826"/>
    <w:rsid w:val="00F70943"/>
    <w:rsid w:val="00F7403E"/>
    <w:rsid w:val="00F77871"/>
    <w:rsid w:val="00F854A5"/>
    <w:rsid w:val="00FC09F3"/>
    <w:rsid w:val="00FC1E83"/>
    <w:rsid w:val="00FD4462"/>
    <w:rsid w:val="00FD6C81"/>
    <w:rsid w:val="00FE03FC"/>
    <w:rsid w:val="00FF2926"/>
    <w:rsid w:val="00FF40FC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5F2D"/>
  <w15:chartTrackingRefBased/>
  <w15:docId w15:val="{8044835F-596C-48DE-A79E-A3FC23BC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0F7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aliases w:val="ROZDZIAŁ,Section Heading,1 ghost,g,Hoofdstuk,Tytuł1,Tytu31,Tytuł 1 st.,Heading 1 Char,Heading 1 Char Znak,Nagłówek 11 Znak,Nagłówek 11,1-Titre 1,Nagłówek 1 - ST,Title 1,Znak4,Tytu³1,A-Üb-Nr-1,Ü1 + Nr,Nr-1,tabulator,Nagłówek 1a"/>
    <w:basedOn w:val="Normalny"/>
    <w:next w:val="Normalny"/>
    <w:link w:val="Nagwek1Znak"/>
    <w:uiPriority w:val="9"/>
    <w:qFormat/>
    <w:rsid w:val="008D70F7"/>
    <w:pPr>
      <w:keepNext/>
      <w:keepLines/>
      <w:numPr>
        <w:numId w:val="1"/>
      </w:numPr>
      <w:spacing w:before="600" w:after="600" w:line="240" w:lineRule="auto"/>
      <w:ind w:left="567" w:firstLine="0"/>
      <w:contextualSpacing/>
      <w:outlineLvl w:val="0"/>
    </w:pPr>
    <w:rPr>
      <w:rFonts w:eastAsia="Times New Roman" w:cs="Arial"/>
      <w:b/>
      <w:bCs/>
      <w:smallCaps/>
      <w:szCs w:val="28"/>
    </w:rPr>
  </w:style>
  <w:style w:type="paragraph" w:styleId="Nagwek2">
    <w:name w:val="heading 2"/>
    <w:aliases w:val="POD-ROZDZIAŁ,2 headline,h,drugi,Heading 2 AGT ESIA,Podtytuł1,Paragraaf,Podtytu31,Nagłówek 2 HL,1.1-Titre 2,Heading 2 Char,Heading 2 Char Znak,Nagłówek 21 Znak,Nagłówek 21,Level 2,Level 21,Level 22,Level 23,Level 24,Level 25,Level 211,2-Savona"/>
    <w:basedOn w:val="Normalny"/>
    <w:next w:val="Normalny"/>
    <w:link w:val="Nagwek2Znak"/>
    <w:uiPriority w:val="99"/>
    <w:qFormat/>
    <w:rsid w:val="00F36948"/>
    <w:pPr>
      <w:keepNext/>
      <w:keepLines/>
      <w:numPr>
        <w:ilvl w:val="1"/>
        <w:numId w:val="1"/>
      </w:numPr>
      <w:spacing w:before="480" w:after="360" w:line="240" w:lineRule="auto"/>
      <w:contextualSpacing/>
      <w:outlineLvl w:val="1"/>
    </w:pPr>
    <w:rPr>
      <w:rFonts w:eastAsia="Times New Roman" w:cs="Cambria"/>
      <w:b/>
      <w:bCs/>
      <w:smallCaps/>
      <w:sz w:val="28"/>
      <w:szCs w:val="26"/>
    </w:rPr>
  </w:style>
  <w:style w:type="paragraph" w:styleId="Nagwek3">
    <w:name w:val="heading 3"/>
    <w:aliases w:val="Subparagraaf,zwykły tekst,zwyk³y tekst,/   1.1,normal,Podtytuł2,Podtytu32,Nagłówek 3 HL,Heading 3 Char,Nagłówk 3,Heading 3 Char Znak,Nagłówek 31 Znak,1.1.1-Titre 3,Nagłówek 3 Znak Znak Znak Znak Znak Znak,theH3d,A-Üb-Nr-3,Ü3 + Nr,Nr1.1.1,L3"/>
    <w:basedOn w:val="Normalny"/>
    <w:next w:val="Normalny"/>
    <w:link w:val="Nagwek3Znak"/>
    <w:uiPriority w:val="9"/>
    <w:qFormat/>
    <w:rsid w:val="00F36948"/>
    <w:pPr>
      <w:keepNext/>
      <w:keepLines/>
      <w:numPr>
        <w:ilvl w:val="2"/>
        <w:numId w:val="1"/>
      </w:numPr>
      <w:spacing w:before="480" w:after="240" w:line="240" w:lineRule="auto"/>
      <w:contextualSpacing/>
      <w:outlineLvl w:val="2"/>
    </w:pPr>
    <w:rPr>
      <w:rFonts w:eastAsia="Times New Roman" w:cs="Cambria"/>
      <w:b/>
      <w:bCs/>
      <w:sz w:val="26"/>
    </w:rPr>
  </w:style>
  <w:style w:type="paragraph" w:styleId="Nagwek4">
    <w:name w:val="heading 4"/>
    <w:aliases w:val="1.1.1.1 Nagłówek 4,Bijlage,Bijlage Znak,Znak,Reset numbering + Wyjustowany,Z lewej:  0 cm,Wysunięcie:  2,5 cm...,Level 2 - a,Ü4 + Nr,Nr-1.1.1.1, Znak,Nagłów 3,4 dash,d,3,4-Savona"/>
    <w:basedOn w:val="Normalny"/>
    <w:next w:val="Normalny"/>
    <w:link w:val="Nagwek4Znak"/>
    <w:uiPriority w:val="9"/>
    <w:qFormat/>
    <w:rsid w:val="00F36948"/>
    <w:pPr>
      <w:keepNext/>
      <w:keepLines/>
      <w:numPr>
        <w:ilvl w:val="3"/>
        <w:numId w:val="1"/>
      </w:numPr>
      <w:spacing w:before="360" w:after="240" w:line="240" w:lineRule="auto"/>
      <w:contextualSpacing/>
      <w:outlineLvl w:val="3"/>
    </w:pPr>
    <w:rPr>
      <w:rFonts w:eastAsia="Times New Roman" w:cs="Cambria"/>
      <w:b/>
      <w:bCs/>
      <w:iCs/>
    </w:rPr>
  </w:style>
  <w:style w:type="paragraph" w:styleId="Nagwek5">
    <w:name w:val="heading 5"/>
    <w:aliases w:val="ar2,Ü5 + Nr,N5,5 sub-bullet,sb,4,tekst"/>
    <w:basedOn w:val="Normalny"/>
    <w:next w:val="Normalny"/>
    <w:link w:val="Nagwek5Znak"/>
    <w:uiPriority w:val="9"/>
    <w:qFormat/>
    <w:rsid w:val="00F36948"/>
    <w:pPr>
      <w:keepNext/>
      <w:keepLines/>
      <w:numPr>
        <w:ilvl w:val="4"/>
        <w:numId w:val="1"/>
      </w:numPr>
      <w:spacing w:before="240" w:after="120"/>
      <w:ind w:left="3175"/>
      <w:contextualSpacing/>
      <w:outlineLvl w:val="4"/>
    </w:pPr>
    <w:rPr>
      <w:rFonts w:eastAsia="Times New Roman" w:cs="Cambria"/>
      <w:b/>
      <w:i/>
    </w:rPr>
  </w:style>
  <w:style w:type="paragraph" w:styleId="Nagwek6">
    <w:name w:val="heading 6"/>
    <w:aliases w:val="Styl opisu rysunku,Nagłówek 6 Styl opisu rysunku,sub-dash,sd,5"/>
    <w:basedOn w:val="Normalny"/>
    <w:next w:val="Normalny"/>
    <w:link w:val="Nagwek6Znak"/>
    <w:uiPriority w:val="9"/>
    <w:qFormat/>
    <w:rsid w:val="00F36948"/>
    <w:pPr>
      <w:numPr>
        <w:ilvl w:val="5"/>
        <w:numId w:val="1"/>
      </w:numPr>
      <w:spacing w:before="240" w:after="120" w:line="240" w:lineRule="auto"/>
      <w:contextualSpacing/>
      <w:outlineLvl w:val="5"/>
    </w:pPr>
    <w:rPr>
      <w:rFonts w:eastAsia="Times New Roman"/>
      <w:b/>
      <w:bCs/>
      <w:u w:val="single"/>
      <w:lang w:eastAsia="pl-PL"/>
    </w:rPr>
  </w:style>
  <w:style w:type="paragraph" w:styleId="Nagwek7">
    <w:name w:val="heading 7"/>
    <w:aliases w:val="Styl opisu tabeli Nagłówek 7"/>
    <w:basedOn w:val="Normalny"/>
    <w:next w:val="Normalny"/>
    <w:link w:val="Nagwek7Znak"/>
    <w:uiPriority w:val="9"/>
    <w:qFormat/>
    <w:rsid w:val="00F36948"/>
    <w:pPr>
      <w:keepNext/>
      <w:numPr>
        <w:ilvl w:val="6"/>
        <w:numId w:val="1"/>
      </w:numPr>
      <w:spacing w:before="240" w:after="120" w:line="240" w:lineRule="auto"/>
      <w:outlineLvl w:val="6"/>
    </w:pPr>
    <w:rPr>
      <w:rFonts w:eastAsia="Times New Roman"/>
      <w:b/>
      <w:iCs/>
      <w:szCs w:val="20"/>
      <w:lang w:eastAsia="pl-PL"/>
    </w:rPr>
  </w:style>
  <w:style w:type="paragraph" w:styleId="Nagwek8">
    <w:name w:val="heading 8"/>
    <w:aliases w:val="opis rysunku"/>
    <w:basedOn w:val="Normalny"/>
    <w:next w:val="Normalny"/>
    <w:link w:val="Nagwek8Znak"/>
    <w:uiPriority w:val="9"/>
    <w:qFormat/>
    <w:rsid w:val="00F36948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Cs w:val="24"/>
      <w:lang w:eastAsia="pl-PL"/>
    </w:rPr>
  </w:style>
  <w:style w:type="paragraph" w:styleId="Nagwek9">
    <w:name w:val="heading 9"/>
    <w:aliases w:val="Tab"/>
    <w:basedOn w:val="Normalny"/>
    <w:next w:val="Normalny"/>
    <w:link w:val="Nagwek9Znak"/>
    <w:uiPriority w:val="9"/>
    <w:qFormat/>
    <w:rsid w:val="00F36948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List Paragraph,Normal,Akapit z listą3,Akapit z listą31,Normalny2,Akapit z listą32,maz_wyliczenie,opis dzialania,K-P_odwolanie,A_wyliczenie,Akapit z listą5,Akapit z listą;1_literowka,Literowanie,1_literowka,Podsis rysunku"/>
    <w:basedOn w:val="Normalny"/>
    <w:link w:val="AkapitzlistZnak"/>
    <w:uiPriority w:val="34"/>
    <w:qFormat/>
    <w:rsid w:val="00600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C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6C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26F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F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5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F5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D70F7"/>
    <w:rPr>
      <w:rFonts w:ascii="Arial" w:eastAsia="Times New Roman" w:hAnsi="Arial" w:cs="Arial"/>
      <w:b/>
      <w:bCs/>
      <w:smallCap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9"/>
    <w:rsid w:val="00F36948"/>
    <w:rPr>
      <w:rFonts w:eastAsia="Times New Roman" w:cs="Cambria"/>
      <w:b/>
      <w:bCs/>
      <w:smallCaps/>
      <w:sz w:val="28"/>
      <w:szCs w:val="26"/>
      <w:lang w:eastAsia="en-US"/>
    </w:rPr>
  </w:style>
  <w:style w:type="character" w:customStyle="1" w:styleId="Nagwek3Znak">
    <w:name w:val="Nagłówek 3 Znak"/>
    <w:aliases w:val="Subparagraaf Znak,zwykły tekst Znak,zwyk³y tekst Znak,/   1.1 Znak,normal Znak,Podtytuł2 Znak,Podtytu32 Znak,Nagłówek 3 HL Znak,Heading 3 Char Znak1,Nagłówk 3 Znak,Heading 3 Char Znak Znak,Nagłówek 31 Znak Znak,1.1.1-Titre 3 Znak,L3 Znak"/>
    <w:link w:val="Nagwek3"/>
    <w:uiPriority w:val="9"/>
    <w:rsid w:val="00F36948"/>
    <w:rPr>
      <w:rFonts w:eastAsia="Times New Roman" w:cs="Cambria"/>
      <w:b/>
      <w:bCs/>
      <w:sz w:val="26"/>
      <w:szCs w:val="22"/>
      <w:lang w:eastAsia="en-US"/>
    </w:rPr>
  </w:style>
  <w:style w:type="character" w:customStyle="1" w:styleId="Nagwek4Znak">
    <w:name w:val="Nagłówek 4 Znak"/>
    <w:aliases w:val="1.1.1.1 Nagłówek 4 Znak,Bijlage Znak1,Bijlage Znak Znak,Znak Znak,Reset numbering + Wyjustowany Znak,Z lewej:  0 cm Znak,Wysunięcie:  2 Znak,5 cm... Znak,Level 2 - a Znak,Ü4 + Nr Znak,Nr-1.1.1.1 Znak, Znak Znak,Nagłów 3 Znak,4 dash Znak"/>
    <w:link w:val="Nagwek4"/>
    <w:uiPriority w:val="9"/>
    <w:rsid w:val="00F36948"/>
    <w:rPr>
      <w:rFonts w:eastAsia="Times New Roman" w:cs="Cambria"/>
      <w:b/>
      <w:bCs/>
      <w:i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F36948"/>
    <w:rPr>
      <w:rFonts w:eastAsia="Times New Roman" w:cs="Cambria"/>
      <w:b/>
      <w:i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F36948"/>
    <w:rPr>
      <w:rFonts w:eastAsia="Times New Roman"/>
      <w:b/>
      <w:bCs/>
      <w:sz w:val="22"/>
      <w:szCs w:val="22"/>
      <w:u w:val="single"/>
    </w:rPr>
  </w:style>
  <w:style w:type="character" w:customStyle="1" w:styleId="Nagwek7Znak">
    <w:name w:val="Nagłówek 7 Znak"/>
    <w:link w:val="Nagwek7"/>
    <w:uiPriority w:val="9"/>
    <w:rsid w:val="00F36948"/>
    <w:rPr>
      <w:rFonts w:eastAsia="Times New Roman"/>
      <w:b/>
      <w:iCs/>
      <w:sz w:val="22"/>
    </w:rPr>
  </w:style>
  <w:style w:type="character" w:customStyle="1" w:styleId="Nagwek8Znak">
    <w:name w:val="Nagłówek 8 Znak"/>
    <w:link w:val="Nagwek8"/>
    <w:uiPriority w:val="9"/>
    <w:rsid w:val="00F36948"/>
    <w:rPr>
      <w:rFonts w:eastAsia="Times New Roman"/>
      <w:i/>
      <w:iCs/>
      <w:sz w:val="22"/>
      <w:szCs w:val="24"/>
    </w:rPr>
  </w:style>
  <w:style w:type="character" w:customStyle="1" w:styleId="Nagwek9Znak">
    <w:name w:val="Nagłówek 9 Znak"/>
    <w:link w:val="Nagwek9"/>
    <w:uiPriority w:val="9"/>
    <w:rsid w:val="00F36948"/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Akapit z listą1 Znak,List Paragraph Znak,Normal Znak,Akapit z listą3 Znak,Akapit z listą31 Znak,Normalny2 Znak,Akapit z listą32 Znak,maz_wyliczenie Znak,opis dzialania Znak,K-P_odwolanie Znak,A_wyliczenie Znak,Akapit z listą5 Znak"/>
    <w:link w:val="Akapitzlist"/>
    <w:uiPriority w:val="34"/>
    <w:qFormat/>
    <w:rsid w:val="00F36948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D70F7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8D70F7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D70F7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B5E6-59C5-4729-9EF5-F8994547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Pieczko</dc:creator>
  <cp:keywords/>
  <cp:lastModifiedBy>Fatyga Beata</cp:lastModifiedBy>
  <cp:revision>2</cp:revision>
  <cp:lastPrinted>2021-07-13T11:11:00Z</cp:lastPrinted>
  <dcterms:created xsi:type="dcterms:W3CDTF">2021-07-13T11:51:00Z</dcterms:created>
  <dcterms:modified xsi:type="dcterms:W3CDTF">2021-07-13T11:51:00Z</dcterms:modified>
</cp:coreProperties>
</file>